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27EC" w:rsidRPr="00AB2AAC" w:rsidRDefault="009457EE" w:rsidP="00C727EC">
      <w:pPr>
        <w:spacing w:line="360" w:lineRule="auto"/>
        <w:jc w:val="center"/>
        <w:rPr>
          <w:b/>
          <w:bCs/>
          <w:lang w:val="sq-AL"/>
        </w:rPr>
      </w:pPr>
      <w:r w:rsidRPr="00AB2AAC">
        <w:rPr>
          <w:b/>
          <w:bCs/>
          <w:lang w:val="sq-AL"/>
        </w:rPr>
        <w:t>V</w:t>
      </w:r>
      <w:r w:rsidR="00C727EC">
        <w:rPr>
          <w:b/>
          <w:bCs/>
          <w:lang w:val="sq-AL"/>
        </w:rPr>
        <w:t>endim nr. 139 dat</w:t>
      </w:r>
      <w:r w:rsidR="00C727EC" w:rsidRPr="00AB2AAC">
        <w:rPr>
          <w:b/>
          <w:bCs/>
          <w:lang w:val="sq-AL"/>
        </w:rPr>
        <w:t>ë 03.07.</w:t>
      </w:r>
      <w:r w:rsidR="00C727EC" w:rsidRPr="00AB2AAC">
        <w:rPr>
          <w:b/>
          <w:lang w:val="sq-AL"/>
        </w:rPr>
        <w:t>2014</w:t>
      </w:r>
    </w:p>
    <w:p w:rsidR="009457EE" w:rsidRPr="00AB2AAC" w:rsidRDefault="009457EE" w:rsidP="009457EE">
      <w:pPr>
        <w:spacing w:line="360" w:lineRule="auto"/>
        <w:jc w:val="both"/>
        <w:rPr>
          <w:b/>
          <w:bCs/>
          <w:u w:val="single"/>
          <w:lang w:val="sq-AL"/>
        </w:rPr>
      </w:pPr>
    </w:p>
    <w:p w:rsidR="009457EE" w:rsidRPr="00AB2AAC" w:rsidRDefault="009457EE" w:rsidP="009457EE">
      <w:pPr>
        <w:spacing w:line="360" w:lineRule="auto"/>
        <w:ind w:firstLine="720"/>
        <w:jc w:val="both"/>
        <w:rPr>
          <w:lang w:val="sq-AL"/>
        </w:rPr>
      </w:pPr>
      <w:r w:rsidRPr="00AB2AAC">
        <w:rPr>
          <w:lang w:val="sq-AL"/>
        </w:rPr>
        <w:t>Kolegji i Gjykatës Kushtetuese të Republikës së Shqipërisë (Kolegji), i përbërë nga:</w:t>
      </w:r>
    </w:p>
    <w:p w:rsidR="005610AC" w:rsidRPr="00AB2AAC" w:rsidRDefault="005610AC" w:rsidP="009457EE">
      <w:pPr>
        <w:spacing w:line="360" w:lineRule="auto"/>
        <w:ind w:firstLine="720"/>
        <w:jc w:val="both"/>
        <w:rPr>
          <w:lang w:val="sq-AL"/>
        </w:rPr>
      </w:pPr>
    </w:p>
    <w:p w:rsidR="009457EE" w:rsidRPr="00AB2AAC" w:rsidRDefault="009457EE" w:rsidP="009457EE">
      <w:pPr>
        <w:spacing w:line="360" w:lineRule="auto"/>
        <w:ind w:firstLine="720"/>
        <w:jc w:val="both"/>
        <w:rPr>
          <w:lang w:val="sq-AL"/>
        </w:rPr>
      </w:pPr>
      <w:r w:rsidRPr="00AB2AAC">
        <w:rPr>
          <w:lang w:val="sq-AL"/>
        </w:rPr>
        <w:t xml:space="preserve">Vladimir Kristo, </w:t>
      </w:r>
      <w:r w:rsidRPr="00AB2AAC">
        <w:rPr>
          <w:lang w:val="sq-AL"/>
        </w:rPr>
        <w:tab/>
        <w:t>Anëtar</w:t>
      </w:r>
      <w:r w:rsidRPr="00AB2AAC">
        <w:rPr>
          <w:lang w:val="sq-AL"/>
        </w:rPr>
        <w:tab/>
      </w:r>
      <w:r w:rsidR="00474D78" w:rsidRPr="00AB2AAC">
        <w:rPr>
          <w:lang w:val="sq-AL"/>
        </w:rPr>
        <w:t xml:space="preserve"> </w:t>
      </w:r>
      <w:r w:rsidRPr="00AB2AAC">
        <w:rPr>
          <w:lang w:val="sq-AL"/>
        </w:rPr>
        <w:t>i</w:t>
      </w:r>
      <w:r w:rsidR="00474D78" w:rsidRPr="00AB2AAC">
        <w:rPr>
          <w:lang w:val="sq-AL"/>
        </w:rPr>
        <w:t xml:space="preserve"> </w:t>
      </w:r>
      <w:r w:rsidRPr="00AB2AAC">
        <w:rPr>
          <w:lang w:val="sq-AL"/>
        </w:rPr>
        <w:t>Gjykatës Kushtetuese</w:t>
      </w:r>
    </w:p>
    <w:p w:rsidR="009457EE" w:rsidRPr="00AB2AAC" w:rsidRDefault="00AE157E" w:rsidP="005610AC">
      <w:pPr>
        <w:spacing w:line="360" w:lineRule="auto"/>
        <w:ind w:firstLine="720"/>
        <w:jc w:val="both"/>
        <w:rPr>
          <w:lang w:val="sq-AL"/>
        </w:rPr>
      </w:pPr>
      <w:r w:rsidRPr="00AB2AAC">
        <w:rPr>
          <w:lang w:val="sq-AL"/>
        </w:rPr>
        <w:t>Vitore Tusha</w:t>
      </w:r>
      <w:r w:rsidR="009457EE" w:rsidRPr="00AB2AAC">
        <w:rPr>
          <w:lang w:val="sq-AL"/>
        </w:rPr>
        <w:t>,</w:t>
      </w:r>
      <w:r w:rsidR="009457EE" w:rsidRPr="00AB2AAC">
        <w:rPr>
          <w:lang w:val="sq-AL"/>
        </w:rPr>
        <w:tab/>
      </w:r>
      <w:r w:rsidR="00AB2AAC" w:rsidRPr="00AB2AAC">
        <w:rPr>
          <w:lang w:val="sq-AL"/>
        </w:rPr>
        <w:t xml:space="preserve">   </w:t>
      </w:r>
      <w:r w:rsidR="00474D78" w:rsidRPr="00AB2AAC">
        <w:rPr>
          <w:lang w:val="sq-AL"/>
        </w:rPr>
        <w:tab/>
      </w:r>
      <w:r w:rsidR="009457EE" w:rsidRPr="00AB2AAC">
        <w:rPr>
          <w:lang w:val="sq-AL"/>
        </w:rPr>
        <w:t>Anëtar</w:t>
      </w:r>
      <w:r w:rsidRPr="00AB2AAC">
        <w:rPr>
          <w:lang w:val="sq-AL"/>
        </w:rPr>
        <w:t>e</w:t>
      </w:r>
      <w:r w:rsidR="00474D78" w:rsidRPr="00AB2AAC">
        <w:rPr>
          <w:lang w:val="sq-AL"/>
        </w:rPr>
        <w:t xml:space="preserve"> </w:t>
      </w:r>
      <w:r w:rsidRPr="00AB2AAC">
        <w:rPr>
          <w:lang w:val="sq-AL"/>
        </w:rPr>
        <w:t>e</w:t>
      </w:r>
      <w:r w:rsidR="009457EE" w:rsidRPr="00AB2AAC">
        <w:rPr>
          <w:lang w:val="sq-AL"/>
        </w:rPr>
        <w:tab/>
        <w:t xml:space="preserve"> “</w:t>
      </w:r>
      <w:r w:rsidR="009457EE" w:rsidRPr="00AB2AAC">
        <w:rPr>
          <w:lang w:val="sq-AL"/>
        </w:rPr>
        <w:tab/>
        <w:t xml:space="preserve">“ </w:t>
      </w:r>
    </w:p>
    <w:p w:rsidR="009457EE" w:rsidRPr="00AB2AAC" w:rsidRDefault="005610AC" w:rsidP="005610AC">
      <w:pPr>
        <w:spacing w:line="360" w:lineRule="auto"/>
        <w:jc w:val="both"/>
        <w:rPr>
          <w:lang w:val="sq-AL"/>
        </w:rPr>
      </w:pPr>
      <w:r w:rsidRPr="00AB2AAC">
        <w:rPr>
          <w:lang w:val="sq-AL"/>
        </w:rPr>
        <w:tab/>
      </w:r>
      <w:r w:rsidR="009457EE" w:rsidRPr="00AB2AAC">
        <w:rPr>
          <w:lang w:val="sq-AL"/>
        </w:rPr>
        <w:t>Besnik Imeraj,</w:t>
      </w:r>
      <w:r w:rsidR="009457EE" w:rsidRPr="00AB2AAC">
        <w:rPr>
          <w:lang w:val="sq-AL"/>
        </w:rPr>
        <w:tab/>
      </w:r>
      <w:r w:rsidR="009457EE" w:rsidRPr="00AB2AAC">
        <w:rPr>
          <w:lang w:val="sq-AL"/>
        </w:rPr>
        <w:tab/>
        <w:t>Anëtar</w:t>
      </w:r>
      <w:r w:rsidR="009457EE" w:rsidRPr="00AB2AAC">
        <w:rPr>
          <w:lang w:val="sq-AL"/>
        </w:rPr>
        <w:tab/>
      </w:r>
      <w:r w:rsidR="00474D78" w:rsidRPr="00AB2AAC">
        <w:rPr>
          <w:lang w:val="sq-AL"/>
        </w:rPr>
        <w:t xml:space="preserve"> </w:t>
      </w:r>
      <w:r w:rsidR="009457EE" w:rsidRPr="00AB2AAC">
        <w:rPr>
          <w:lang w:val="sq-AL"/>
        </w:rPr>
        <w:t>i</w:t>
      </w:r>
      <w:r w:rsidR="009457EE" w:rsidRPr="00AB2AAC">
        <w:rPr>
          <w:lang w:val="sq-AL"/>
        </w:rPr>
        <w:tab/>
        <w:t xml:space="preserve"> “</w:t>
      </w:r>
      <w:r w:rsidR="009457EE" w:rsidRPr="00AB2AAC">
        <w:rPr>
          <w:lang w:val="sq-AL"/>
        </w:rPr>
        <w:tab/>
        <w:t xml:space="preserve"> “</w:t>
      </w:r>
    </w:p>
    <w:p w:rsidR="009457EE" w:rsidRPr="00AB2AAC" w:rsidRDefault="009457EE" w:rsidP="009457EE">
      <w:pPr>
        <w:spacing w:line="360" w:lineRule="auto"/>
        <w:jc w:val="both"/>
        <w:rPr>
          <w:lang w:val="sq-AL"/>
        </w:rPr>
      </w:pPr>
    </w:p>
    <w:p w:rsidR="009457EE" w:rsidRPr="00AB2AAC" w:rsidRDefault="009457EE" w:rsidP="009457EE">
      <w:pPr>
        <w:spacing w:line="360" w:lineRule="auto"/>
        <w:jc w:val="both"/>
        <w:rPr>
          <w:lang w:val="sq-AL"/>
        </w:rPr>
      </w:pPr>
      <w:r w:rsidRPr="00AB2AAC">
        <w:rPr>
          <w:lang w:val="sq-AL"/>
        </w:rPr>
        <w:t xml:space="preserve">në datën </w:t>
      </w:r>
      <w:r w:rsidR="00047611" w:rsidRPr="00AB2AAC">
        <w:rPr>
          <w:lang w:val="sq-AL"/>
        </w:rPr>
        <w:t>03.0</w:t>
      </w:r>
      <w:r w:rsidR="00E401AE" w:rsidRPr="00AB2AAC">
        <w:rPr>
          <w:lang w:val="sq-AL"/>
        </w:rPr>
        <w:t>7.</w:t>
      </w:r>
      <w:r w:rsidRPr="00AB2AAC">
        <w:rPr>
          <w:lang w:val="sq-AL"/>
        </w:rPr>
        <w:t>2014, mori në shqyrtim paraprak kërkesën me nr.1</w:t>
      </w:r>
      <w:r w:rsidR="00047611" w:rsidRPr="00AB2AAC">
        <w:rPr>
          <w:lang w:val="sq-AL"/>
        </w:rPr>
        <w:t>3</w:t>
      </w:r>
      <w:r w:rsidR="007B47D9" w:rsidRPr="00AB2AAC">
        <w:rPr>
          <w:lang w:val="sq-AL"/>
        </w:rPr>
        <w:t>9</w:t>
      </w:r>
      <w:r w:rsidRPr="00AB2AAC">
        <w:rPr>
          <w:lang w:val="sq-AL"/>
        </w:rPr>
        <w:t xml:space="preserve"> Akti, që i përket:</w:t>
      </w:r>
    </w:p>
    <w:p w:rsidR="000C6952" w:rsidRPr="00AB2AAC" w:rsidRDefault="000C6952" w:rsidP="00047611">
      <w:pPr>
        <w:spacing w:line="360" w:lineRule="auto"/>
        <w:ind w:left="720"/>
        <w:jc w:val="both"/>
        <w:rPr>
          <w:b/>
          <w:lang w:val="sq-AL"/>
        </w:rPr>
      </w:pPr>
    </w:p>
    <w:p w:rsidR="00047611" w:rsidRPr="00AB2AAC" w:rsidRDefault="00047611" w:rsidP="00047611">
      <w:pPr>
        <w:spacing w:line="360" w:lineRule="auto"/>
        <w:jc w:val="both"/>
        <w:rPr>
          <w:b/>
          <w:lang w:val="sq-AL"/>
        </w:rPr>
      </w:pPr>
      <w:r w:rsidRPr="00AB2AAC">
        <w:rPr>
          <w:b/>
          <w:lang w:val="sq-AL"/>
        </w:rPr>
        <w:t xml:space="preserve">K Ë R K U E S: </w:t>
      </w:r>
      <w:r w:rsidRPr="00AB2AAC">
        <w:rPr>
          <w:b/>
          <w:lang w:val="sq-AL"/>
        </w:rPr>
        <w:tab/>
        <w:t xml:space="preserve">GJYKATA E RRETHIT GJYQËSOR VLORË </w:t>
      </w:r>
    </w:p>
    <w:p w:rsidR="00047611" w:rsidRPr="00AB2AAC" w:rsidRDefault="00AB2AAC" w:rsidP="00047611">
      <w:pPr>
        <w:spacing w:line="360" w:lineRule="auto"/>
        <w:jc w:val="both"/>
        <w:rPr>
          <w:b/>
          <w:u w:val="single"/>
          <w:lang w:val="sq-AL"/>
        </w:rPr>
      </w:pPr>
      <w:r w:rsidRPr="00AB2AAC">
        <w:rPr>
          <w:b/>
          <w:lang w:val="sq-AL"/>
        </w:rPr>
        <w:t xml:space="preserve">            </w:t>
      </w:r>
      <w:r w:rsidR="00047611" w:rsidRPr="00AB2AAC">
        <w:rPr>
          <w:b/>
          <w:lang w:val="sq-AL"/>
        </w:rPr>
        <w:tab/>
      </w:r>
    </w:p>
    <w:p w:rsidR="00047611" w:rsidRPr="00AB2AAC" w:rsidRDefault="00047611" w:rsidP="00047611">
      <w:pPr>
        <w:spacing w:line="360" w:lineRule="auto"/>
        <w:ind w:left="2160" w:right="120" w:hanging="2160"/>
        <w:jc w:val="both"/>
        <w:rPr>
          <w:b/>
          <w:lang w:val="sq-AL"/>
        </w:rPr>
      </w:pPr>
      <w:r w:rsidRPr="00AB2AAC">
        <w:rPr>
          <w:b/>
          <w:lang w:val="sq-AL"/>
        </w:rPr>
        <w:t>O B J E K T I:</w:t>
      </w:r>
      <w:r w:rsidRPr="00AB2AAC">
        <w:rPr>
          <w:lang w:val="sq-AL"/>
        </w:rPr>
        <w:tab/>
      </w:r>
      <w:r w:rsidRPr="00AB2AAC">
        <w:rPr>
          <w:b/>
          <w:lang w:val="sq-AL"/>
        </w:rPr>
        <w:t>Kontrolli i kushtetutshmërisë së nenit 5 të ligjit nr.</w:t>
      </w:r>
      <w:r w:rsidR="00AB2AAC" w:rsidRPr="00AB2AAC">
        <w:rPr>
          <w:b/>
          <w:lang w:val="sq-AL"/>
        </w:rPr>
        <w:t xml:space="preserve"> </w:t>
      </w:r>
      <w:r w:rsidRPr="00AB2AAC">
        <w:rPr>
          <w:b/>
          <w:lang w:val="sq-AL"/>
        </w:rPr>
        <w:t xml:space="preserve">22, datë 10.03.2014, “Për dhënie amnistie”. </w:t>
      </w:r>
    </w:p>
    <w:p w:rsidR="00047611" w:rsidRPr="00AB2AAC" w:rsidRDefault="00047611" w:rsidP="00047611">
      <w:pPr>
        <w:spacing w:line="360" w:lineRule="auto"/>
        <w:ind w:left="2160" w:right="120" w:hanging="2160"/>
        <w:jc w:val="both"/>
        <w:rPr>
          <w:b/>
          <w:lang w:val="sq-AL"/>
        </w:rPr>
      </w:pPr>
    </w:p>
    <w:p w:rsidR="00047611" w:rsidRPr="00AB2AAC" w:rsidRDefault="00047611" w:rsidP="00047611">
      <w:pPr>
        <w:spacing w:line="360" w:lineRule="auto"/>
        <w:ind w:left="2160" w:right="120" w:hanging="2160"/>
        <w:jc w:val="both"/>
        <w:rPr>
          <w:lang w:val="sq-AL"/>
        </w:rPr>
      </w:pPr>
      <w:r w:rsidRPr="00AB2AAC">
        <w:rPr>
          <w:b/>
          <w:lang w:val="sq-AL"/>
        </w:rPr>
        <w:t>BAZA LIGJORE:</w:t>
      </w:r>
      <w:r w:rsidRPr="00AB2AAC">
        <w:rPr>
          <w:lang w:val="sq-AL"/>
        </w:rPr>
        <w:tab/>
      </w:r>
      <w:r w:rsidRPr="00AB2AAC">
        <w:rPr>
          <w:b/>
          <w:lang w:val="sq-AL"/>
        </w:rPr>
        <w:t>Nenet 4, 42, 43, 131, 134 dhe 145/2 të Kushtetutës së Republikës së Shqipërisë”; neni 68 i ligjit nr. 8577, datë 10.02.2000 “Për organizimin dhe funksionimin e Gjykatës Kushtetuese të Republikës së Shqipërisë”.</w:t>
      </w:r>
    </w:p>
    <w:p w:rsidR="00047611" w:rsidRPr="00AB2AAC" w:rsidRDefault="00047611" w:rsidP="00047611">
      <w:pPr>
        <w:spacing w:line="360" w:lineRule="auto"/>
        <w:ind w:left="2880" w:right="120" w:hanging="2160"/>
        <w:jc w:val="both"/>
        <w:rPr>
          <w:b/>
          <w:lang w:val="sq-AL"/>
        </w:rPr>
      </w:pPr>
    </w:p>
    <w:p w:rsidR="00047611" w:rsidRPr="00AB2AAC" w:rsidRDefault="00047611" w:rsidP="00047611">
      <w:pPr>
        <w:pStyle w:val="BodyTextIndent"/>
        <w:spacing w:after="0" w:line="360" w:lineRule="auto"/>
        <w:ind w:left="0"/>
        <w:jc w:val="center"/>
      </w:pPr>
      <w:r w:rsidRPr="00AB2AAC">
        <w:t>Kolegji, pasi shqyrtoi kërkesën, dokumentet shoqëruese dhe diskutoi çështjen në tërësi,</w:t>
      </w:r>
    </w:p>
    <w:p w:rsidR="00047611" w:rsidRPr="00AB2AAC" w:rsidRDefault="00047611" w:rsidP="00047611">
      <w:pPr>
        <w:pStyle w:val="BodyTextIndent"/>
        <w:spacing w:after="0" w:line="360" w:lineRule="auto"/>
        <w:ind w:left="0"/>
        <w:jc w:val="both"/>
        <w:rPr>
          <w:b/>
          <w:bCs/>
        </w:rPr>
      </w:pPr>
    </w:p>
    <w:p w:rsidR="00047611" w:rsidRPr="00AB2AAC" w:rsidRDefault="00047611" w:rsidP="00047611">
      <w:pPr>
        <w:pStyle w:val="BodyTextIndent"/>
        <w:spacing w:after="0" w:line="360" w:lineRule="auto"/>
        <w:ind w:left="0"/>
        <w:jc w:val="center"/>
      </w:pPr>
      <w:r w:rsidRPr="00AB2AAC">
        <w:rPr>
          <w:b/>
          <w:bCs/>
        </w:rPr>
        <w:t>V Ë R E N:</w:t>
      </w:r>
    </w:p>
    <w:p w:rsidR="00047611" w:rsidRPr="00AB2AAC" w:rsidRDefault="00047611" w:rsidP="00047611">
      <w:pPr>
        <w:pStyle w:val="BodyTextIndent"/>
        <w:tabs>
          <w:tab w:val="left" w:pos="2154"/>
        </w:tabs>
        <w:spacing w:after="0" w:line="360" w:lineRule="auto"/>
        <w:ind w:left="0"/>
        <w:jc w:val="center"/>
        <w:rPr>
          <w:b/>
        </w:rPr>
      </w:pPr>
      <w:r w:rsidRPr="00AB2AAC">
        <w:rPr>
          <w:b/>
        </w:rPr>
        <w:t>I</w:t>
      </w:r>
    </w:p>
    <w:p w:rsidR="00047611" w:rsidRPr="00AB2AAC" w:rsidRDefault="00047611" w:rsidP="00047611">
      <w:pPr>
        <w:spacing w:line="360" w:lineRule="auto"/>
        <w:ind w:firstLine="720"/>
        <w:jc w:val="both"/>
        <w:rPr>
          <w:lang w:val="sq-AL"/>
        </w:rPr>
      </w:pPr>
      <w:r w:rsidRPr="00AB2AAC">
        <w:rPr>
          <w:lang w:val="sq-AL"/>
        </w:rPr>
        <w:t>1. Prokuroria e Rrethit Gjyqësor Vlorë ka paraqitur në datë</w:t>
      </w:r>
      <w:r w:rsidR="00AB2AAC">
        <w:rPr>
          <w:lang w:val="sq-AL"/>
        </w:rPr>
        <w:t>n</w:t>
      </w:r>
      <w:r w:rsidRPr="00AB2AAC">
        <w:rPr>
          <w:lang w:val="sq-AL"/>
        </w:rPr>
        <w:t xml:space="preserve"> 17.02.2014, përpara Gjykatës së Rrethit Gjyqësor Vlorë (gjykata referuese), kërkesën për gjykimin e procedimit penal nr. 1402, të vitit 2013 në ngarkim të të pandehurit V.T., i akuzuar për veprën penale “plagosje e lehtë me dashje”, të parashikuar nga neni 89 i Kodit Penal (KP).</w:t>
      </w:r>
    </w:p>
    <w:p w:rsidR="00047611" w:rsidRPr="00AB2AAC" w:rsidRDefault="00047611" w:rsidP="00047611">
      <w:pPr>
        <w:spacing w:line="360" w:lineRule="auto"/>
        <w:ind w:firstLine="720"/>
        <w:jc w:val="both"/>
        <w:rPr>
          <w:lang w:val="sq-AL"/>
        </w:rPr>
      </w:pPr>
      <w:r w:rsidRPr="00AB2AAC">
        <w:rPr>
          <w:lang w:val="sq-AL"/>
        </w:rPr>
        <w:t xml:space="preserve">2. Në seancën gjyqësore të datës 11.04.2014, në fazën procedurale të kërkesave paraprake të palëve, nga ana e organit të akuzës është kërkuar pushimi i çështjes penale të lartpërmendur, me arsyetimin se, në kushtet e hyrjes në fuqi të ligjit nr. 22, datë 10.03.2014 “Për dhënie amnistie”, normat e të cilit zbatohen edhe në lidhje me veprën penale objekt gjykimi, ndodhemi përpara një shkaku procedural, i cili shuan ndjekjen penale, në kuptim të nenit 387 të Kodit të Procedurës Penale (KPP). </w:t>
      </w:r>
    </w:p>
    <w:p w:rsidR="00047611" w:rsidRPr="00AB2AAC" w:rsidRDefault="00047611" w:rsidP="00047611">
      <w:pPr>
        <w:spacing w:line="360" w:lineRule="auto"/>
        <w:ind w:firstLine="720"/>
        <w:jc w:val="both"/>
        <w:rPr>
          <w:lang w:val="sq-AL"/>
        </w:rPr>
      </w:pPr>
      <w:r w:rsidRPr="00AB2AAC">
        <w:rPr>
          <w:lang w:val="sq-AL"/>
        </w:rPr>
        <w:t>3. Gjykata referuese, ka vendosur pezullimin e gjykimit të çështjes nr.293 akti, datë 17.02.2014, me të pandehur V.T. dhe në mbështetje të neneve 134/1, shkronja d dhe 145/2 të Kushtetutës së Republikës së Shqipërisë, i është drejtuar Gjykatës Kushtetuese, duke kërkuar kontrollin e kushtetutshmërisë së nenit 5 të ligjit nr. 22, datë 10.03.2014 “Për dhënie amnistie”.</w:t>
      </w:r>
    </w:p>
    <w:p w:rsidR="00047611" w:rsidRPr="00AB2AAC" w:rsidRDefault="00047611" w:rsidP="00047611">
      <w:pPr>
        <w:spacing w:line="360" w:lineRule="auto"/>
        <w:jc w:val="center"/>
        <w:rPr>
          <w:color w:val="0000FF"/>
          <w:u w:val="single"/>
          <w:lang w:val="sq-AL"/>
        </w:rPr>
      </w:pPr>
      <w:r w:rsidRPr="00AB2AAC">
        <w:rPr>
          <w:b/>
          <w:lang w:val="sq-AL"/>
        </w:rPr>
        <w:t>II</w:t>
      </w:r>
      <w:r w:rsidR="00734844" w:rsidRPr="00AB2AAC">
        <w:rPr>
          <w:lang w:val="sq-AL"/>
        </w:rPr>
        <w:fldChar w:fldCharType="begin"/>
      </w:r>
      <w:r w:rsidRPr="00AB2AAC">
        <w:rPr>
          <w:lang w:val="sq-AL"/>
        </w:rPr>
        <w:instrText xml:space="preserve"> HYPERLINK "http://www.parlament.al/web/pub/ligj_nr_22_dt_10_3_2014_16269_1.pdf" \l "page=1" \o "Page 1" </w:instrText>
      </w:r>
      <w:r w:rsidR="00734844" w:rsidRPr="00AB2AAC">
        <w:rPr>
          <w:lang w:val="sq-AL"/>
        </w:rPr>
        <w:fldChar w:fldCharType="separate"/>
      </w:r>
    </w:p>
    <w:p w:rsidR="00047611" w:rsidRPr="00AB2AAC" w:rsidRDefault="00734844" w:rsidP="00047611">
      <w:pPr>
        <w:spacing w:line="360" w:lineRule="auto"/>
        <w:ind w:firstLine="720"/>
        <w:jc w:val="both"/>
        <w:rPr>
          <w:lang w:val="sq-AL"/>
        </w:rPr>
      </w:pPr>
      <w:r w:rsidRPr="00AB2AAC">
        <w:rPr>
          <w:lang w:val="sq-AL"/>
        </w:rPr>
        <w:fldChar w:fldCharType="end"/>
      </w:r>
      <w:r w:rsidR="00047611" w:rsidRPr="00AB2AAC">
        <w:rPr>
          <w:lang w:val="sq-AL"/>
        </w:rPr>
        <w:t xml:space="preserve"> 4. Neni 5 i ligjit nr. 22/2014 “Për dhënie amnistie” (Kushtet për dhënien e amnistisë nga ndjekja penale) parashikon se: “</w:t>
      </w:r>
      <w:r w:rsidR="00047611" w:rsidRPr="00AB2AAC">
        <w:rPr>
          <w:i/>
          <w:lang w:val="sq-AL"/>
        </w:rPr>
        <w:t>Amnistohen nga ndjekja penale të gjithë personat, të cilët deri në datën 31 dhjetor 2013 kanë kryer vepra penale, të cilat parashikojnë një dënim në maksimum deri në dy vjet burgim ose çdo lloj dënimi tjetër më të lehtë, me përjashtim të veprave të parashikuara në pikën 2 të nenit 6 të këtij ligji</w:t>
      </w:r>
      <w:r w:rsidR="00047611" w:rsidRPr="00AB2AAC">
        <w:rPr>
          <w:lang w:val="sq-AL"/>
        </w:rPr>
        <w:t>”.</w:t>
      </w:r>
    </w:p>
    <w:p w:rsidR="00047611" w:rsidRPr="00AB2AAC" w:rsidRDefault="00047611" w:rsidP="00047611">
      <w:pPr>
        <w:spacing w:line="360" w:lineRule="auto"/>
        <w:ind w:firstLine="720"/>
        <w:jc w:val="both"/>
        <w:rPr>
          <w:lang w:val="sq-AL"/>
        </w:rPr>
      </w:pPr>
      <w:r w:rsidRPr="00AB2AAC">
        <w:rPr>
          <w:lang w:val="sq-AL"/>
        </w:rPr>
        <w:t>5. Gjykata referuese pretendon se dispozita e lartpërmendur, në lidhje me faktin e munges</w:t>
      </w:r>
      <w:r w:rsidR="00051773" w:rsidRPr="00AB2AAC">
        <w:rPr>
          <w:lang w:val="sq-AL"/>
        </w:rPr>
        <w:t xml:space="preserve">ës së përjashtimit nga amnistia </w:t>
      </w:r>
      <w:r w:rsidRPr="00AB2AAC">
        <w:rPr>
          <w:lang w:val="sq-AL"/>
        </w:rPr>
        <w:t>të veprës penale të “plagosjes së lehtë me dashje”, ndjekja penale e të cil</w:t>
      </w:r>
      <w:r w:rsidR="00051773" w:rsidRPr="00AB2AAC">
        <w:rPr>
          <w:lang w:val="sq-AL"/>
        </w:rPr>
        <w:t xml:space="preserve">ës </w:t>
      </w:r>
      <w:r w:rsidRPr="00AB2AAC">
        <w:rPr>
          <w:lang w:val="sq-AL"/>
        </w:rPr>
        <w:t>fillon me ankimin e të dëmtuarit, bie në kundërshtim me nenet 4, 42 dhe 43 të Kushtetutës. Më konkretisht gjykata referuese parashtron:</w:t>
      </w:r>
    </w:p>
    <w:p w:rsidR="00047611" w:rsidRPr="00AB2AAC" w:rsidRDefault="00047611" w:rsidP="001F6760">
      <w:pPr>
        <w:spacing w:line="360" w:lineRule="auto"/>
        <w:ind w:left="1260" w:hanging="540"/>
        <w:jc w:val="both"/>
        <w:rPr>
          <w:lang w:val="sq-AL"/>
        </w:rPr>
      </w:pPr>
      <w:r w:rsidRPr="00AB2AAC">
        <w:rPr>
          <w:lang w:val="sq-AL"/>
        </w:rPr>
        <w:t xml:space="preserve">5.1. </w:t>
      </w:r>
      <w:r w:rsidR="001F6760">
        <w:rPr>
          <w:lang w:val="sq-AL"/>
        </w:rPr>
        <w:tab/>
      </w:r>
      <w:r w:rsidRPr="00AB2AAC">
        <w:rPr>
          <w:lang w:val="sq-AL"/>
        </w:rPr>
        <w:t xml:space="preserve">Ekziston lidhja e drejtpërdrejtë midis ligjit që çmohet si antikushtetues (neni 5 i ligjit nr. 22/2014 </w:t>
      </w:r>
      <w:r w:rsidR="00051773" w:rsidRPr="00AB2AAC">
        <w:rPr>
          <w:i/>
          <w:lang w:val="sq-AL"/>
        </w:rPr>
        <w:t xml:space="preserve">de quo </w:t>
      </w:r>
      <w:r w:rsidRPr="00AB2AAC">
        <w:rPr>
          <w:lang w:val="sq-AL"/>
        </w:rPr>
        <w:t xml:space="preserve">në lidhje me faktin e mungesës së përjashtimit nga amnistia të veprave penale ndjekja penale e të cilave fillon me ankimin e të dëmtuarit) dhe zgjidhjes së çështjes konkrete (pranimin ose jo të kërkesës së prokurorit për pushimin e çështjes penale në ngarkim të të pandehurit V.T.) pasi gjykimi i filluar prej saj, në lidhje me themelin e akuzës penale të ngritur në ngarkim të të pandehurit, varet nga përfundimi i gjykimit në Gjykatën Kushtetuese. Përndryshe, zbatimi i dispozitës, objekt shqyrtimi, në kushtet dhe parashikimet aktuale ligjore do të passillte pushimin e çështjes në ngarkim të të pandehurit. Gjykata referuese gjithashtu pretendon se nuk ekziston as mundësia për realizimin e një interpretimi pajtues të nenit 5 të ligjit nr. 22/2014 me Kushtetutën apo jurisprudencën kushtetuese. </w:t>
      </w:r>
    </w:p>
    <w:p w:rsidR="00047611" w:rsidRPr="00AB2AAC" w:rsidRDefault="00047611" w:rsidP="001F6760">
      <w:pPr>
        <w:spacing w:line="360" w:lineRule="auto"/>
        <w:ind w:left="1260" w:hanging="540"/>
        <w:jc w:val="both"/>
        <w:rPr>
          <w:lang w:val="sq-AL"/>
        </w:rPr>
      </w:pPr>
      <w:r w:rsidRPr="00AB2AAC">
        <w:rPr>
          <w:lang w:val="sq-AL"/>
        </w:rPr>
        <w:t xml:space="preserve">5.2. </w:t>
      </w:r>
      <w:r w:rsidR="001F6760">
        <w:rPr>
          <w:lang w:val="sq-AL"/>
        </w:rPr>
        <w:tab/>
      </w:r>
      <w:r w:rsidRPr="00AB2AAC">
        <w:rPr>
          <w:lang w:val="sq-AL"/>
        </w:rPr>
        <w:t>Neni 5 i ligjit nr. 22/2014 bie ndesh me parimin e shtetit të së drejtës dhe sigurisë juridike, të sanksionuar nga neni 4 i Kushtetutës, sepse nuk përjashton nga veprimi në lëndë (</w:t>
      </w:r>
      <w:r w:rsidRPr="00AB2AAC">
        <w:rPr>
          <w:i/>
          <w:lang w:val="sq-AL"/>
        </w:rPr>
        <w:t>ratione materiae</w:t>
      </w:r>
      <w:r w:rsidRPr="00AB2AAC">
        <w:rPr>
          <w:lang w:val="sq-AL"/>
        </w:rPr>
        <w:t>) ato kategori veprash penale, ndjekja penale e të cilave është e kushtëzuar nga ankimi i të dëmtuarit. Ky parashikim e vendos këtë të fundit në një pozitë të disfavorshme pasi sposton dhe shma</w:t>
      </w:r>
      <w:r w:rsidR="001F6760">
        <w:rPr>
          <w:lang w:val="sq-AL"/>
        </w:rPr>
        <w:t>n</w:t>
      </w:r>
      <w:r w:rsidRPr="00AB2AAC">
        <w:rPr>
          <w:lang w:val="sq-AL"/>
        </w:rPr>
        <w:t xml:space="preserve">g vullnetin e tij. Gjithashtu mungesa e një kufizimi ndaj veprave penale në fjalë nuk përputhet as me </w:t>
      </w:r>
      <w:r w:rsidRPr="00AB2AAC">
        <w:rPr>
          <w:i/>
          <w:lang w:val="sq-AL"/>
        </w:rPr>
        <w:t xml:space="preserve">ratio legis </w:t>
      </w:r>
      <w:r w:rsidRPr="00AB2AAC">
        <w:rPr>
          <w:lang w:val="sq-AL"/>
        </w:rPr>
        <w:t>për dhënien e amnistisë.</w:t>
      </w:r>
    </w:p>
    <w:p w:rsidR="00047611" w:rsidRPr="00AB2AAC" w:rsidRDefault="00047611" w:rsidP="001F6760">
      <w:pPr>
        <w:spacing w:line="360" w:lineRule="auto"/>
        <w:ind w:left="1260" w:hanging="540"/>
        <w:jc w:val="both"/>
        <w:rPr>
          <w:lang w:val="sq-AL"/>
        </w:rPr>
      </w:pPr>
      <w:r w:rsidRPr="00AB2AAC">
        <w:rPr>
          <w:lang w:val="sq-AL"/>
        </w:rPr>
        <w:t xml:space="preserve">5.3. </w:t>
      </w:r>
      <w:r w:rsidR="001F6760">
        <w:rPr>
          <w:lang w:val="sq-AL"/>
        </w:rPr>
        <w:tab/>
      </w:r>
      <w:r w:rsidRPr="00AB2AAC">
        <w:rPr>
          <w:lang w:val="sq-AL"/>
        </w:rPr>
        <w:t xml:space="preserve">Neni 5 i ligjit nr. 22/2014 vjen në kundërshtim me të drejtën e aksesit në gjykatë. Diskrecionit të ligjvënësit që të ndërmarrë masa legjislative, me qëllim shuarjen e veprës penale i korrespondon detyrimi i tij kushtetues për të garantuar në mënyrë proporcionale, liritë dhe të drejtat themelore të njeriut, mbrojtjen e dinjitetit dhe personalitetit njerëzor nga veprimet apo mosveprimet kriminale të cilat mund të ndiqen penalisht vetëm me iniciativën e personit të dëmtuar. </w:t>
      </w:r>
    </w:p>
    <w:p w:rsidR="00047611" w:rsidRPr="00AB2AAC" w:rsidRDefault="00047611" w:rsidP="001F6760">
      <w:pPr>
        <w:spacing w:line="360" w:lineRule="auto"/>
        <w:ind w:left="1260" w:hanging="540"/>
        <w:jc w:val="both"/>
        <w:rPr>
          <w:lang w:val="sq-AL"/>
        </w:rPr>
      </w:pPr>
      <w:r w:rsidRPr="00AB2AAC">
        <w:rPr>
          <w:lang w:val="sq-AL"/>
        </w:rPr>
        <w:t xml:space="preserve">5.4. </w:t>
      </w:r>
      <w:r w:rsidR="001F6760">
        <w:rPr>
          <w:lang w:val="sq-AL"/>
        </w:rPr>
        <w:tab/>
      </w:r>
      <w:r w:rsidRPr="00AB2AAC">
        <w:rPr>
          <w:lang w:val="sq-AL"/>
        </w:rPr>
        <w:t>Gjykata referuese po ashtu pretendon se ndërhyrja nuk është e arsyeshme dhe proporcionale me qëllimin që synohet të arrihet. E drejta e të dëmtuarit për të kërkuar fillimin e ndjekjes penale, pra e drejta e aksesit në gjykatë vendoset në disava</w:t>
      </w:r>
      <w:r w:rsidR="001F6760">
        <w:rPr>
          <w:lang w:val="sq-AL"/>
        </w:rPr>
        <w:t>n</w:t>
      </w:r>
      <w:r w:rsidRPr="00AB2AAC">
        <w:rPr>
          <w:lang w:val="sq-AL"/>
        </w:rPr>
        <w:t xml:space="preserve">tazh të dukshëm </w:t>
      </w:r>
      <w:r w:rsidR="00051773" w:rsidRPr="00AB2AAC">
        <w:rPr>
          <w:lang w:val="sq-AL"/>
        </w:rPr>
        <w:t>lidhur me pozicionin e të pandehurit</w:t>
      </w:r>
      <w:r w:rsidRPr="00AB2AAC">
        <w:rPr>
          <w:lang w:val="sq-AL"/>
        </w:rPr>
        <w:t xml:space="preserve">. </w:t>
      </w:r>
    </w:p>
    <w:p w:rsidR="00047611" w:rsidRPr="00AB2AAC" w:rsidRDefault="00047611" w:rsidP="001F6760">
      <w:pPr>
        <w:spacing w:line="360" w:lineRule="auto"/>
        <w:ind w:left="1260" w:hanging="540"/>
        <w:jc w:val="both"/>
        <w:rPr>
          <w:lang w:val="sq-AL"/>
        </w:rPr>
      </w:pPr>
      <w:r w:rsidRPr="00AB2AAC">
        <w:rPr>
          <w:lang w:val="sq-AL"/>
        </w:rPr>
        <w:t xml:space="preserve">5.5. </w:t>
      </w:r>
      <w:r w:rsidR="001F6760">
        <w:rPr>
          <w:lang w:val="sq-AL"/>
        </w:rPr>
        <w:tab/>
      </w:r>
      <w:r w:rsidRPr="00AB2AAC">
        <w:rPr>
          <w:lang w:val="sq-AL"/>
        </w:rPr>
        <w:t>Cenohet parimi i një gjykimi të drejtë (dhënia e drejtësisë nga gjykata). Ligjvënësi nuk e ka parashikuar momentin kohor procedural në të cilin gjykata mund të vendosë pushimin e çështjes penale për shkak të amnistisë. Në këtë drejtim</w:t>
      </w:r>
      <w:r w:rsidR="001F6760">
        <w:rPr>
          <w:lang w:val="sq-AL"/>
        </w:rPr>
        <w:t>,</w:t>
      </w:r>
      <w:r w:rsidRPr="00AB2AAC">
        <w:rPr>
          <w:lang w:val="sq-AL"/>
        </w:rPr>
        <w:t xml:space="preserve"> neni 5 i ligjit nr. 22/2014 krijon një konflikt kushtetues të së drejtës së të pandehurit për një proces të rregullt ligjor, në kuptimin e një gjykimit të paanshëm, të drejtës së të dëmtuarit nga vepra penale për një gjykim të drejtë të akuzë</w:t>
      </w:r>
      <w:r w:rsidR="001F6760">
        <w:rPr>
          <w:lang w:val="sq-AL"/>
        </w:rPr>
        <w:t>s</w:t>
      </w:r>
      <w:r w:rsidRPr="00AB2AAC">
        <w:rPr>
          <w:lang w:val="sq-AL"/>
        </w:rPr>
        <w:t xml:space="preserve"> së ngritur ndaj të pandehurit dhe të drejtës dhe detyrimit të gjykatës për të dhënë drejtësi, si i vetmi organ i ngarkuar nga Kushtetuta me kryerjen e këtij misioni.</w:t>
      </w:r>
      <w:r w:rsidR="00AB2AAC" w:rsidRPr="00AB2AAC">
        <w:rPr>
          <w:lang w:val="sq-AL"/>
        </w:rPr>
        <w:t xml:space="preserve"> </w:t>
      </w:r>
    </w:p>
    <w:p w:rsidR="00047611" w:rsidRPr="00AB2AAC" w:rsidRDefault="00047611" w:rsidP="00051773">
      <w:pPr>
        <w:spacing w:line="360" w:lineRule="auto"/>
        <w:ind w:firstLine="720"/>
        <w:jc w:val="both"/>
        <w:rPr>
          <w:lang w:val="sq-AL"/>
        </w:rPr>
      </w:pPr>
      <w:r w:rsidRPr="00AB2AAC">
        <w:rPr>
          <w:lang w:val="sq-AL"/>
        </w:rPr>
        <w:t>6. Për arsyet e mësipërme, gjykata referuese ka kërkuar nga Gjykata Kushtetuese kontrollin e kushtetutshmërisë të nenit 5 të ligjit nr. 22/2014 “Për dhënie amnistie”.</w:t>
      </w:r>
      <w:r w:rsidR="00AB2AAC" w:rsidRPr="00AB2AAC">
        <w:rPr>
          <w:lang w:val="sq-AL"/>
        </w:rPr>
        <w:t xml:space="preserve"> </w:t>
      </w:r>
    </w:p>
    <w:p w:rsidR="00047611" w:rsidRPr="00AB2AAC" w:rsidRDefault="00047611" w:rsidP="00047611">
      <w:pPr>
        <w:pStyle w:val="Title"/>
        <w:spacing w:line="360" w:lineRule="auto"/>
        <w:ind w:right="120"/>
        <w:rPr>
          <w:noProof w:val="0"/>
          <w:lang w:val="sq-AL"/>
        </w:rPr>
      </w:pPr>
      <w:r w:rsidRPr="00AB2AAC">
        <w:rPr>
          <w:noProof w:val="0"/>
          <w:lang w:val="sq-AL"/>
        </w:rPr>
        <w:t>III</w:t>
      </w:r>
    </w:p>
    <w:p w:rsidR="00047611" w:rsidRPr="00AB2AAC" w:rsidRDefault="00047611" w:rsidP="00047611">
      <w:pPr>
        <w:spacing w:line="360" w:lineRule="auto"/>
        <w:ind w:right="120" w:firstLine="720"/>
        <w:jc w:val="both"/>
        <w:rPr>
          <w:i/>
          <w:iCs/>
          <w:szCs w:val="20"/>
          <w:lang w:val="sq-AL"/>
        </w:rPr>
      </w:pPr>
      <w:r w:rsidRPr="00AB2AAC">
        <w:rPr>
          <w:lang w:val="sq-AL"/>
        </w:rPr>
        <w:t>7. Neni 145/2 i Kushtetutës parashikon se “</w:t>
      </w:r>
      <w:r w:rsidRPr="00AB2AAC">
        <w:rPr>
          <w:i/>
          <w:lang w:val="sq-AL"/>
        </w:rPr>
        <w:t>kur gjyqtarët çmojnë se ligjet vijnë në kundërshtim me Kushtetutën nuk i zbatojnë ato. Në këtë rast, ata pezullojnë gjykimin dhe ia dërgojnë çështjen Gjykatës Kushtetuese</w:t>
      </w:r>
      <w:r w:rsidRPr="00AB2AAC">
        <w:rPr>
          <w:lang w:val="sq-AL"/>
        </w:rPr>
        <w:t>”. Ndërsa, s</w:t>
      </w:r>
      <w:r w:rsidRPr="00AB2AAC">
        <w:rPr>
          <w:szCs w:val="20"/>
          <w:lang w:val="sq-AL"/>
        </w:rPr>
        <w:t xml:space="preserve">ipas </w:t>
      </w:r>
      <w:r w:rsidRPr="00AB2AAC">
        <w:rPr>
          <w:lang w:val="sq-AL"/>
        </w:rPr>
        <w:t>nenit 68 të ligjit nr.</w:t>
      </w:r>
      <w:r w:rsidR="000563EE">
        <w:rPr>
          <w:lang w:val="sq-AL"/>
        </w:rPr>
        <w:t xml:space="preserve"> </w:t>
      </w:r>
      <w:r w:rsidRPr="00AB2AAC">
        <w:rPr>
          <w:szCs w:val="20"/>
          <w:lang w:val="sq-AL"/>
        </w:rPr>
        <w:t>8577</w:t>
      </w:r>
      <w:r w:rsidRPr="00AB2AAC">
        <w:rPr>
          <w:lang w:val="sq-AL"/>
        </w:rPr>
        <w:t xml:space="preserve">, datë 10.02.2000 “Për organizimin dhe funksionimin e Gjykatës Kushtetuese”, gjykata apo gjyqtari është i detyruar, kur çmon se ligji është antikushtetues, të argumentojë para Gjykatës Kushtetuese ekzistencën e lidhjes së </w:t>
      </w:r>
      <w:r w:rsidR="001F6760" w:rsidRPr="00AB2AAC">
        <w:rPr>
          <w:lang w:val="sq-AL"/>
        </w:rPr>
        <w:t>drejtpërdrejtë</w:t>
      </w:r>
      <w:r w:rsidRPr="00AB2AAC">
        <w:rPr>
          <w:lang w:val="sq-AL"/>
        </w:rPr>
        <w:t xml:space="preserve"> midis ligjit dhe zgjidhjes së çështjes konkrete. </w:t>
      </w:r>
    </w:p>
    <w:p w:rsidR="00047611" w:rsidRPr="00AB2AAC" w:rsidRDefault="00BD59F7" w:rsidP="00047611">
      <w:pPr>
        <w:spacing w:line="360" w:lineRule="auto"/>
        <w:ind w:right="120" w:firstLine="720"/>
        <w:jc w:val="both"/>
        <w:rPr>
          <w:lang w:val="sq-AL" w:eastAsia="sq-AL"/>
        </w:rPr>
      </w:pPr>
      <w:r w:rsidRPr="00AB2AAC">
        <w:rPr>
          <w:szCs w:val="20"/>
          <w:lang w:val="sq-AL"/>
        </w:rPr>
        <w:t xml:space="preserve">8. </w:t>
      </w:r>
      <w:r w:rsidR="00047611" w:rsidRPr="00AB2AAC">
        <w:rPr>
          <w:lang w:val="sq-AL"/>
        </w:rPr>
        <w:t>Gjykata, në jurisprudencën e saj, ka theksuar se gjykatat e juridiksionit të zakonshëm, në përputhje me nenet 134/1/d dhe 145/2 të Kushtetutës mund të ushtrojnë kontrollin e kushtetutshmërisë së normës gjatë shqyrtimit të një çështjeje gjyqësore, kur plotësohen disa kushte: s</w:t>
      </w:r>
      <w:r w:rsidR="00047611" w:rsidRPr="00AB2AAC">
        <w:rPr>
          <w:bCs/>
          <w:lang w:val="sq-AL"/>
        </w:rPr>
        <w:t xml:space="preserve">ë pari, gjykata referuese duhet të përcaktojë/identifikojë ligjin që zbatohet për zgjidhjen e çështjes konkrete (lidhjen e drejtpërdrejtë); së dyti, ajo duhet të parashtrojë arsye serioze për jokushtetutshmërinë e ligjit ose dispozitave të tij duke u referuar në normat ose parimet konkrete të Kushtetutës; së treti, duhet të ekzistojë </w:t>
      </w:r>
      <w:r w:rsidR="00047611" w:rsidRPr="00AB2AAC">
        <w:rPr>
          <w:lang w:val="sq-AL"/>
        </w:rPr>
        <w:t xml:space="preserve">raporti i domosdoshëm midis vendimit të Gjykatës Kushtetuese (zgjidhjes së çështjes së kushtetutshmërisë) dhe zgjidhjes </w:t>
      </w:r>
      <w:r w:rsidR="00047611" w:rsidRPr="00AB2AAC">
        <w:rPr>
          <w:lang w:val="sq-AL" w:eastAsia="sq-AL"/>
        </w:rPr>
        <w:t xml:space="preserve">së çështjes konkrete nga gjykata referuese; së katërti, para se t’i drejtohet Gjykatës Kushtetuese, gjykata referuese, në zbatim të parimit të kushtetutshmërisë, duhet të bëjë të gjitha përpjekjet për ta interpretuar atë në përputhje me Kushtetutën </w:t>
      </w:r>
      <w:r w:rsidR="00047611" w:rsidRPr="00AB2AAC">
        <w:rPr>
          <w:lang w:val="sq-AL"/>
        </w:rPr>
        <w:t>(</w:t>
      </w:r>
      <w:r w:rsidR="00047611" w:rsidRPr="00AB2AAC">
        <w:rPr>
          <w:i/>
          <w:lang w:val="sq-AL"/>
        </w:rPr>
        <w:t>shih vendimet nr.</w:t>
      </w:r>
      <w:r w:rsidR="001F6760">
        <w:rPr>
          <w:i/>
          <w:lang w:val="sq-AL"/>
        </w:rPr>
        <w:t xml:space="preserve"> </w:t>
      </w:r>
      <w:r w:rsidR="00047611" w:rsidRPr="00AB2AAC">
        <w:rPr>
          <w:i/>
          <w:lang w:val="sq-AL"/>
        </w:rPr>
        <w:t>13, datë 04.05.2009; nr.</w:t>
      </w:r>
      <w:r w:rsidR="001F6760">
        <w:rPr>
          <w:i/>
          <w:lang w:val="sq-AL"/>
        </w:rPr>
        <w:t xml:space="preserve"> </w:t>
      </w:r>
      <w:r w:rsidR="00047611" w:rsidRPr="00AB2AAC">
        <w:rPr>
          <w:i/>
          <w:lang w:val="sq-AL"/>
        </w:rPr>
        <w:t xml:space="preserve">2, datë 03.02.2010; </w:t>
      </w:r>
      <w:r w:rsidR="00047611" w:rsidRPr="00AB2AAC">
        <w:rPr>
          <w:i/>
          <w:lang w:val="sq-AL" w:eastAsia="sq-AL"/>
        </w:rPr>
        <w:t>nr.</w:t>
      </w:r>
      <w:r w:rsidR="001F6760">
        <w:rPr>
          <w:i/>
          <w:lang w:val="sq-AL" w:eastAsia="sq-AL"/>
        </w:rPr>
        <w:t xml:space="preserve"> </w:t>
      </w:r>
      <w:r w:rsidR="00047611" w:rsidRPr="00AB2AAC">
        <w:rPr>
          <w:i/>
          <w:lang w:val="sq-AL" w:eastAsia="sq-AL"/>
        </w:rPr>
        <w:t xml:space="preserve">12, datë 14.04.2010 </w:t>
      </w:r>
      <w:r w:rsidR="00047611" w:rsidRPr="00AB2AAC">
        <w:rPr>
          <w:i/>
          <w:lang w:val="sq-AL"/>
        </w:rPr>
        <w:t>të Gjykatës Kushtetuese</w:t>
      </w:r>
      <w:r w:rsidR="00047611" w:rsidRPr="00AB2AAC">
        <w:rPr>
          <w:lang w:val="sq-AL"/>
        </w:rPr>
        <w:t>).</w:t>
      </w:r>
      <w:r w:rsidR="00AB2AAC" w:rsidRPr="00AB2AAC">
        <w:rPr>
          <w:lang w:val="sq-AL"/>
        </w:rPr>
        <w:t xml:space="preserve"> </w:t>
      </w:r>
    </w:p>
    <w:p w:rsidR="00047611" w:rsidRPr="00AB2AAC" w:rsidRDefault="00047611" w:rsidP="00047611">
      <w:pPr>
        <w:spacing w:line="360" w:lineRule="auto"/>
        <w:ind w:firstLine="720"/>
        <w:jc w:val="both"/>
        <w:rPr>
          <w:lang w:val="sq-AL"/>
        </w:rPr>
      </w:pPr>
      <w:r w:rsidRPr="00AB2AAC">
        <w:rPr>
          <w:lang w:val="sq-AL"/>
        </w:rPr>
        <w:t xml:space="preserve">9. Në rastin objekt shqyrtimi, </w:t>
      </w:r>
      <w:r w:rsidR="00051773" w:rsidRPr="00AB2AAC">
        <w:rPr>
          <w:lang w:val="sq-AL"/>
        </w:rPr>
        <w:t xml:space="preserve">Kolegji vëren </w:t>
      </w:r>
      <w:r w:rsidRPr="00AB2AAC">
        <w:rPr>
          <w:lang w:val="sq-AL"/>
        </w:rPr>
        <w:t xml:space="preserve">se </w:t>
      </w:r>
      <w:r w:rsidRPr="00AB2AAC">
        <w:rPr>
          <w:bCs/>
          <w:lang w:val="sq-AL"/>
        </w:rPr>
        <w:t>referuar nenit 145/2 të Kushtetutës dhe nenit 68 të Ligjit nr.</w:t>
      </w:r>
      <w:r w:rsidR="001F6760">
        <w:rPr>
          <w:bCs/>
          <w:lang w:val="sq-AL"/>
        </w:rPr>
        <w:t xml:space="preserve"> </w:t>
      </w:r>
      <w:r w:rsidRPr="00AB2AAC">
        <w:rPr>
          <w:bCs/>
          <w:lang w:val="sq-AL"/>
        </w:rPr>
        <w:t xml:space="preserve">8577, datë 10.02.2000 “Për organizimin dhe funksionimin e Gjykatës Kushtetuese”, Gjykata e Rrethit Gjyqësor Vlorë legjitimohet në paraqitjen e kërkesës së saj. </w:t>
      </w:r>
      <w:r w:rsidRPr="00AB2AAC">
        <w:rPr>
          <w:lang w:val="sq-AL"/>
        </w:rPr>
        <w:t xml:space="preserve">Nga materialet e dosjes gjyqësore rezulton se prokuroria </w:t>
      </w:r>
      <w:r w:rsidRPr="00AB2AAC">
        <w:rPr>
          <w:bCs/>
          <w:lang w:val="sq-AL"/>
        </w:rPr>
        <w:t xml:space="preserve">është vënë në lëvizje nga i dëmtuari akuzues, i cili pretendon se ndaj tij është kryer një vepër penale. </w:t>
      </w:r>
      <w:r w:rsidRPr="00AB2AAC">
        <w:rPr>
          <w:lang w:val="sq-AL"/>
        </w:rPr>
        <w:t>Prokuroria e Rrethit Gjyqësor Vlorë ka paraqitur përpara Gjykatës së Rrethit Gjyqësor Vlorë kërkesën për gjykimin e procedimit penal nr. 1402, të vitit 2013 në ngarkim të të pandehurit V.T., i akuzuar për veprën penale “plagosje e lehtë me dashje”, të parashikuar nga neni 89 i Kodit Penal (KP). Organi i akuzës në seancën e datës 11.04.2014 ka kërkuar pushimi</w:t>
      </w:r>
      <w:r w:rsidR="00BD59F7" w:rsidRPr="00AB2AAC">
        <w:rPr>
          <w:lang w:val="sq-AL"/>
        </w:rPr>
        <w:t>n e</w:t>
      </w:r>
      <w:r w:rsidRPr="00AB2AAC">
        <w:rPr>
          <w:lang w:val="sq-AL"/>
        </w:rPr>
        <w:t xml:space="preserve"> çështjes penale të lartpërmendur, bazuar në nenin 5 të ligjit nr. 22, datë 10.03.2014 “Për dhënie amnistie”. </w:t>
      </w:r>
      <w:r w:rsidRPr="00AB2AAC">
        <w:rPr>
          <w:bCs/>
          <w:lang w:val="sq-AL"/>
        </w:rPr>
        <w:t xml:space="preserve">Gjykata e Rrethit Gjyqësor Vlorë është e detyruar t’i referohet këtij neni për pranimin apo jo të kërkesës. Nisur nga këto rrethana, </w:t>
      </w:r>
      <w:r w:rsidR="00051773" w:rsidRPr="00AB2AAC">
        <w:rPr>
          <w:bCs/>
          <w:lang w:val="sq-AL"/>
        </w:rPr>
        <w:t xml:space="preserve">Kolegji çmon se </w:t>
      </w:r>
      <w:r w:rsidRPr="00AB2AAC">
        <w:rPr>
          <w:bCs/>
          <w:lang w:val="sq-AL"/>
        </w:rPr>
        <w:t xml:space="preserve">çështja që ka për gjykim gjykata referuese, ka lidhje të drejtpërdrejtë me dispozitën e nenit 5 </w:t>
      </w:r>
      <w:r w:rsidRPr="00AB2AAC">
        <w:rPr>
          <w:lang w:val="sq-AL"/>
        </w:rPr>
        <w:t>të ligjit nr. 22, datë 10.03.2014 “Për dhënie amnistie”</w:t>
      </w:r>
      <w:r w:rsidRPr="00AB2AAC">
        <w:rPr>
          <w:bCs/>
          <w:lang w:val="sq-AL"/>
        </w:rPr>
        <w:t>, që kërkohet të shfuqizohet.</w:t>
      </w:r>
      <w:r w:rsidR="00AB2AAC" w:rsidRPr="00AB2AAC">
        <w:rPr>
          <w:bCs/>
          <w:lang w:val="sq-AL"/>
        </w:rPr>
        <w:t xml:space="preserve"> </w:t>
      </w:r>
      <w:r w:rsidRPr="00AB2AAC">
        <w:rPr>
          <w:bCs/>
          <w:lang w:val="sq-AL"/>
        </w:rPr>
        <w:t xml:space="preserve"> </w:t>
      </w:r>
    </w:p>
    <w:p w:rsidR="00047611" w:rsidRPr="00AB2AAC" w:rsidRDefault="00047611" w:rsidP="00047611">
      <w:pPr>
        <w:spacing w:line="360" w:lineRule="auto"/>
        <w:ind w:firstLine="720"/>
        <w:jc w:val="both"/>
        <w:rPr>
          <w:bCs/>
          <w:lang w:val="sq-AL"/>
        </w:rPr>
      </w:pPr>
      <w:r w:rsidRPr="00AB2AAC">
        <w:rPr>
          <w:lang w:val="sq-AL"/>
        </w:rPr>
        <w:t xml:space="preserve">10. Sa i përket themelit të kërkesës së paraqitur, Gjykata </w:t>
      </w:r>
      <w:r w:rsidRPr="00AB2AAC">
        <w:rPr>
          <w:bCs/>
          <w:lang w:val="sq-AL"/>
        </w:rPr>
        <w:t xml:space="preserve">në vendimin nr. 3, datë 06.02.2008 është shprehur se bazuar në nenin 148/1 i Kushtetutës normalisht ndjekja penale është detyrë ekskluzive e shtetit. Për këtë qëllim, ligjvënësi ka parashikuar ngritjen e një organi të posaçëm për ushtrimin e ndjekjes penale në shërbim të mbrojtjes së interesave të shtetit dhe të shoqërisë. Organi i prokurorisë është një nga mekanizmat e domosdoshëm që ndihmon në dhënien e drejtësisë penale. Ky organ i specializuar ka si funksion kryesor ushtrimin e ndjekjes penale në emër të shtetit dhe përfaqësimin e akuzës publike në gjyq. </w:t>
      </w:r>
    </w:p>
    <w:p w:rsidR="00047611" w:rsidRPr="00AB2AAC" w:rsidRDefault="00047611" w:rsidP="00047611">
      <w:pPr>
        <w:spacing w:line="360" w:lineRule="auto"/>
        <w:ind w:firstLine="720"/>
        <w:jc w:val="both"/>
        <w:rPr>
          <w:lang w:val="sq-AL"/>
        </w:rPr>
      </w:pPr>
      <w:r w:rsidRPr="00AB2AAC">
        <w:rPr>
          <w:lang w:val="sq-AL"/>
        </w:rPr>
        <w:t xml:space="preserve">11. Në ndryshim nga sa më lart, kur ndodhemi para veprave penale për të cilat parashikohet shprehimisht ndërhyrja e të dëmtuarit akuzues, është vetëm ky person që mund të ngrejë akuzë private ndaj autorit të veprës penale. Në dispozita konkrete të KPP-së, duke përfshirë edhe nenin 59/1 dhe nenin 284, janë parashikuar të drejtat dhe detyrimet e çdo subjekti në procesin penal, duke rregulluar edhe rastet në të cilat ndërhyrja e prokurorit në hetim ose gjykim nuk është e domosdoshme. Këto raste janë të pakta dhe duhet të karakterizohen nga mungesa e rrezikshmërisë së lartë shoqërore dhe interesi i vogël publik në çështjen konkrete. Janë pikërisht këto vepra që parashikohen në nenin 59/1 dhe 284 të Kodit të Procedurës Penale. </w:t>
      </w:r>
    </w:p>
    <w:p w:rsidR="00047611" w:rsidRPr="00AB2AAC" w:rsidRDefault="00047611" w:rsidP="00047611">
      <w:pPr>
        <w:spacing w:line="360" w:lineRule="auto"/>
        <w:ind w:firstLine="720"/>
        <w:jc w:val="both"/>
        <w:rPr>
          <w:lang w:val="sq-AL"/>
        </w:rPr>
      </w:pPr>
      <w:r w:rsidRPr="00AB2AAC">
        <w:rPr>
          <w:lang w:val="sq-AL"/>
        </w:rPr>
        <w:t>12. Thelbi i akuzës private është vënia para përgjegjësisë e autorit të një vepre nga e cila të dëmtuarit, sipas vlerësimit të tij subjektiv, i kanë ardhur pasoja negative. Kusht i domosdoshëm për të ngritur këtë akuzë është që i dëmtuari të jetë viktimë e njërës prej atyre veprave të parashikuara për këtë qëllim nga ligji procedural penal. Vepra të tilla konsiderohen me rrezikshmëri jo të madhe shoqërore dhe që nuk cenojnë rendin publik, si psh. dëmtime të tjera me dashje (neni 90), fyerja (neni 119), hyrja në banesë pa pëlqimin e tjetrit (neni 112/1), etj. të parashikuara nga Kodi Penal. Në hartimin e këtij parashikimi, ligjvënësi, ka pasur parasysh se nuk është në interesin publik ushtrimi i ndjekjes penale dhe, sipas rastit, dënimi i autorit të një vepre me pasoja të vogla ose të n</w:t>
      </w:r>
      <w:r w:rsidR="00620F6B">
        <w:rPr>
          <w:lang w:val="sq-AL"/>
        </w:rPr>
        <w:t>jë mase të tillë që nuk rreziko</w:t>
      </w:r>
      <w:r w:rsidRPr="00AB2AAC">
        <w:rPr>
          <w:lang w:val="sq-AL"/>
        </w:rPr>
        <w:t>n shëndetin, pasurinë apo jetën e të dëmtuarit. Ligjvënësi është përpjekur të vendosë një balancë sa më të drejtë midis interesave publikë, nga njëra anë, të përfaqësuara dhe të mbrojtura nga prokuroria dhe interesave privatë nga ana tjetër, që lidhen ngushtë me individin dhe që për këtë arsye mund të mbrohen drejtpërdrejt prej tij.</w:t>
      </w:r>
      <w:r w:rsidR="00AB2AAC" w:rsidRPr="00AB2AAC">
        <w:rPr>
          <w:lang w:val="sq-AL"/>
        </w:rPr>
        <w:t xml:space="preserve"> </w:t>
      </w:r>
    </w:p>
    <w:p w:rsidR="00047611" w:rsidRPr="00AB2AAC" w:rsidRDefault="00047611" w:rsidP="00047611">
      <w:pPr>
        <w:spacing w:line="360" w:lineRule="auto"/>
        <w:ind w:firstLine="720"/>
        <w:jc w:val="both"/>
        <w:rPr>
          <w:lang w:val="sq-AL"/>
        </w:rPr>
      </w:pPr>
      <w:r w:rsidRPr="00AB2AAC">
        <w:rPr>
          <w:lang w:val="sq-AL"/>
        </w:rPr>
        <w:t xml:space="preserve">13. Gjithsesi, Gjykata </w:t>
      </w:r>
      <w:r w:rsidR="008C275A" w:rsidRPr="00AB2AAC">
        <w:rPr>
          <w:lang w:val="sq-AL"/>
        </w:rPr>
        <w:t xml:space="preserve">ka </w:t>
      </w:r>
      <w:r w:rsidRPr="00AB2AAC">
        <w:rPr>
          <w:lang w:val="sq-AL"/>
        </w:rPr>
        <w:t>theks</w:t>
      </w:r>
      <w:r w:rsidR="008C275A" w:rsidRPr="00AB2AAC">
        <w:rPr>
          <w:lang w:val="sq-AL"/>
        </w:rPr>
        <w:t xml:space="preserve">uar </w:t>
      </w:r>
      <w:r w:rsidRPr="00AB2AAC">
        <w:rPr>
          <w:lang w:val="sq-AL"/>
        </w:rPr>
        <w:t>se, në rastet e parashikuara nga neni 59/1, nuk përjashtohet tërësisht pjesëmarrja e prokurorit (</w:t>
      </w:r>
      <w:r w:rsidRPr="00AB2AAC">
        <w:rPr>
          <w:i/>
          <w:lang w:val="sq-AL"/>
        </w:rPr>
        <w:t>sikurse ka ndodhur në rastin objekt shqyrtimi</w:t>
      </w:r>
      <w:r w:rsidRPr="00AB2AAC">
        <w:rPr>
          <w:lang w:val="sq-AL"/>
        </w:rPr>
        <w:t>). Ai ka të drejtë, që gjatë gjykimit të këtyre çështjeve të marrë pjesë duke kërkuar, sipas rastit, fajësinë ose jo të të pandehurit. Përjashtimi i hetimit paraprak nga këto çështje dhe lejimi i të dëmtuarit akuzues për të ngritur akuzë nuk është marrje e kompetencave të prokurorit, por thjesht dhënie e mundësisë të dëmtuarit për të qenë aktiv në një proces ku ai është i interesuar drejtpërdrejt. Gjykata ka çmuar se pozita procedurale e prokurorit është e një lloji të veçantë. Ai nuk është palë në debatin gjyqësor që zhvillohet midis të pandehurit dhe të dëmtuarit akuzues. Për këtë kategori veprash penale ai është i përjashtuar me ligj nga roli i tij si përfaqësues i akuzës dhe si autoritet që ushtron ndjekjen penale</w:t>
      </w:r>
      <w:r w:rsidR="008C275A" w:rsidRPr="00AB2AAC">
        <w:rPr>
          <w:lang w:val="sq-AL"/>
        </w:rPr>
        <w:t>.</w:t>
      </w:r>
      <w:r w:rsidRPr="00AB2AAC">
        <w:rPr>
          <w:lang w:val="sq-AL"/>
        </w:rPr>
        <w:t xml:space="preserve"> </w:t>
      </w:r>
    </w:p>
    <w:p w:rsidR="00047611" w:rsidRPr="00AB2AAC" w:rsidRDefault="00047611" w:rsidP="00047611">
      <w:pPr>
        <w:spacing w:line="360" w:lineRule="auto"/>
        <w:ind w:firstLine="720"/>
        <w:jc w:val="both"/>
        <w:rPr>
          <w:lang w:val="sq-AL"/>
        </w:rPr>
      </w:pPr>
      <w:r w:rsidRPr="00AB2AAC">
        <w:rPr>
          <w:lang w:val="sq-AL"/>
        </w:rPr>
        <w:t xml:space="preserve">14. Ngritja e akuzës nga i dëmtuari, e njohur ndryshe si akuzë private, nuk varet nga vendimmarrja e prokurorisë. I dëmtuari i drejtohet direkt gjykatës me akuzën e tij dhe merr pjesë aktivisht në proces për ta bindur gjykatën me anë të provave dhe fakteve që të marrë një vendim në favor të tij. I dëmtuari akuzues ka të drejtë të shfrytëzojë të gjitha mjetet juridike të njohura nga legjislacioni procedural, përfshirë këtu edhe të drejtën e ankimit apo rekursin. </w:t>
      </w:r>
    </w:p>
    <w:p w:rsidR="00047611" w:rsidRPr="00AB2AAC" w:rsidRDefault="00047611" w:rsidP="00047611">
      <w:pPr>
        <w:spacing w:line="360" w:lineRule="auto"/>
        <w:ind w:firstLine="720"/>
        <w:jc w:val="both"/>
        <w:rPr>
          <w:lang w:val="sq-AL"/>
        </w:rPr>
      </w:pPr>
      <w:r w:rsidRPr="00AB2AAC">
        <w:rPr>
          <w:lang w:val="sq-AL"/>
        </w:rPr>
        <w:t xml:space="preserve">15. Nisur nga sa më lart, Gjykata ka arritur në përfundimin se si akuza publike ashtu edhe akuza private të parashikuara nga legjislacioni procedural penal janë dy mekanizma që shërbejnë për ndjekjen penale të autorit të veprës penale dhe në asnjë rast ato nuk kanë për qëllim eliminimin e njëra tjetrës. Ato bashkëveprojnë dhe në raste të caktuara gjejnë zbatim veçmas. Gjykata rithekson se në asnjë rast akuza publike nuk mund të shmanget. Ajo ushtrohet sa herë që prokuroria krijon bindjen se vepra e kryer cenon rendin publik apo interesin e shoqërisë. Këtë prokuroria e bën edhe duke ndërhyrë në procesin e iniciuar nga i dëmtuari akuzues (neni 59/2 i Kodit të Procedurës Penale). </w:t>
      </w:r>
    </w:p>
    <w:p w:rsidR="00B25136" w:rsidRPr="00AB2AAC" w:rsidRDefault="00047611" w:rsidP="00047611">
      <w:pPr>
        <w:spacing w:line="360" w:lineRule="auto"/>
        <w:ind w:firstLine="720"/>
        <w:jc w:val="both"/>
        <w:rPr>
          <w:lang w:val="sq-AL"/>
        </w:rPr>
      </w:pPr>
      <w:r w:rsidRPr="00AB2AAC">
        <w:rPr>
          <w:lang w:val="sq-AL"/>
        </w:rPr>
        <w:t>16. Lidhur me efektet e amnistisë</w:t>
      </w:r>
      <w:r w:rsidR="00047300">
        <w:rPr>
          <w:lang w:val="sq-AL"/>
        </w:rPr>
        <w:t>,</w:t>
      </w:r>
      <w:r w:rsidRPr="00AB2AAC">
        <w:rPr>
          <w:lang w:val="sq-AL"/>
        </w:rPr>
        <w:t xml:space="preserve"> Gjykata në vendimin nr. 16, datë 19.04.2010 është shprehur se ajo përbën një masë të përgjithshme faljeje për kategori të përcaktuara veprash penale të kryera në një periudhë të caktuar kohe, apo dënimeve përkatëse. </w:t>
      </w:r>
      <w:r w:rsidR="00B25136" w:rsidRPr="00AB2AAC">
        <w:rPr>
          <w:lang w:val="sq-AL"/>
        </w:rPr>
        <w:t>Sipas doktrinës a</w:t>
      </w:r>
      <w:r w:rsidR="007B655C" w:rsidRPr="00AB2AAC">
        <w:rPr>
          <w:lang w:val="sq-AL"/>
        </w:rPr>
        <w:t xml:space="preserve">mnistia </w:t>
      </w:r>
      <w:r w:rsidR="00B25136" w:rsidRPr="00AB2AAC">
        <w:rPr>
          <w:lang w:val="sq-AL"/>
        </w:rPr>
        <w:t>inspirohet</w:t>
      </w:r>
      <w:r w:rsidR="007B655C" w:rsidRPr="00AB2AAC">
        <w:rPr>
          <w:lang w:val="sq-AL"/>
        </w:rPr>
        <w:t xml:space="preserve">, të paktën fillimisht, nga arsye të oportunitetit politik dhe </w:t>
      </w:r>
      <w:r w:rsidR="00B25136" w:rsidRPr="00AB2AAC">
        <w:rPr>
          <w:lang w:val="sq-AL"/>
        </w:rPr>
        <w:t xml:space="preserve">të </w:t>
      </w:r>
      <w:r w:rsidR="007B655C" w:rsidRPr="00AB2AAC">
        <w:rPr>
          <w:lang w:val="sq-AL"/>
        </w:rPr>
        <w:t xml:space="preserve">paqes sociale. </w:t>
      </w:r>
      <w:r w:rsidRPr="00AB2AAC">
        <w:rPr>
          <w:lang w:val="sq-AL"/>
        </w:rPr>
        <w:t>Në nenin 71 të Kodit Penal përcaktohet se: “Me aktin e amnistisë organi kompetent përjashton nga ndjekja penale, nga vuajtja tërësisht apo pjesërisht e dënimit ose bën zëvendësimin e dënimit me një lloj dënimi më të butë. Amnistia shtrihet për ato vepra penale të kryera deri një ditë para shpalljes së saj, veç rastit kur në aktin përkatës vendoset ndryshe”. Nga përmbajtja e kësaj norme rezulton se akti i amnistisë parashikon disa organe të cilat, me hyrjen në fuqi të këtij akti (ligji për dhënie amnistie), marrin kompetencë për të përjashtuar nga ndjekja penale (amnistia e veprës penale), nga vuajtja tërësisht apo pjesërisht e dënimit ose për të bërë zëv</w:t>
      </w:r>
      <w:r w:rsidR="00047300">
        <w:rPr>
          <w:lang w:val="sq-AL"/>
        </w:rPr>
        <w:t>e</w:t>
      </w:r>
      <w:r w:rsidRPr="00AB2AAC">
        <w:rPr>
          <w:lang w:val="sq-AL"/>
        </w:rPr>
        <w:t xml:space="preserve">ndësimin e dënimit me një lloj dënimi më të butë (amnistia e dënimit). Kështu, Prokuroria, që në kuptim të nenit 148/1 të Kushtetutës është organi që ushtron ndjekjen penale dhe gjykata, që në kuptim të nenit 42 dhe 135 të Kushtetutës është organi kompetent që gjykon akuzat e ngritura ndaj individëve për vepra penale, me hyrjen në fuqi të ligjit për amnistinë, autorizohen të përjashtojnë nga ndjekja penale vepra penale të kryera sipas parashikimeve të këtij ligji. </w:t>
      </w:r>
    </w:p>
    <w:p w:rsidR="00047611" w:rsidRPr="00AB2AAC" w:rsidRDefault="00047611" w:rsidP="00047611">
      <w:pPr>
        <w:spacing w:line="360" w:lineRule="auto"/>
        <w:ind w:firstLine="720"/>
        <w:jc w:val="both"/>
        <w:rPr>
          <w:lang w:val="sq-AL"/>
        </w:rPr>
      </w:pPr>
      <w:r w:rsidRPr="00AB2AAC">
        <w:rPr>
          <w:lang w:val="sq-AL"/>
        </w:rPr>
        <w:t xml:space="preserve">17. Nga sa më sipër, Gjykata ka vlerësuar se amnistia e veprës penale gjen zbatim në të gjitha fazat </w:t>
      </w:r>
      <w:r w:rsidR="00047300" w:rsidRPr="00AB2AAC">
        <w:rPr>
          <w:lang w:val="sq-AL"/>
        </w:rPr>
        <w:t>procedurale</w:t>
      </w:r>
      <w:r w:rsidRPr="00AB2AAC">
        <w:rPr>
          <w:lang w:val="sq-AL"/>
        </w:rPr>
        <w:t xml:space="preserve"> të procesit penal, me pasojë pushimin e çështjes për ato vepra penale për të cilat ndjekja penale nuk duhet të fillojë ose të vazhdojë. Kështu, në rastet kur gjykata e shkallës së parë zbaton amnistinë e veprës penale, ajo ka detyrimin të deklarojë pushimin e çështjes. Nëse amnistia e veprës penale zbatohet në procesin gjyqësor në Gjykatën e Apelit apo në Gjykatën e Lartë, këto të fundit duhet të prishin vendimet e dhëna nga gjykatat më të ul</w:t>
      </w:r>
      <w:r w:rsidR="00047300">
        <w:rPr>
          <w:lang w:val="sq-AL"/>
        </w:rPr>
        <w:t>ë</w:t>
      </w:r>
      <w:r w:rsidRPr="00AB2AAC">
        <w:rPr>
          <w:lang w:val="sq-AL"/>
        </w:rPr>
        <w:t xml:space="preserve">ta dhe të pushojnë çështjen penale. </w:t>
      </w:r>
    </w:p>
    <w:p w:rsidR="00D22D08" w:rsidRPr="00AB2AAC" w:rsidRDefault="00047611" w:rsidP="00D22D08">
      <w:pPr>
        <w:autoSpaceDE w:val="0"/>
        <w:spacing w:line="360" w:lineRule="auto"/>
        <w:ind w:right="-1" w:firstLine="720"/>
        <w:jc w:val="both"/>
        <w:rPr>
          <w:lang w:val="sq-AL"/>
        </w:rPr>
      </w:pPr>
      <w:r w:rsidRPr="00AB2AAC">
        <w:rPr>
          <w:lang w:val="sq-AL"/>
        </w:rPr>
        <w:t xml:space="preserve">18. </w:t>
      </w:r>
      <w:r w:rsidR="00D22D08" w:rsidRPr="00AB2AAC">
        <w:rPr>
          <w:lang w:val="sq-AL"/>
        </w:rPr>
        <w:t xml:space="preserve">Në këto kushte, Kolegji vlerëson se </w:t>
      </w:r>
      <w:r w:rsidR="00D22D08" w:rsidRPr="00AB2AAC">
        <w:rPr>
          <w:bCs/>
          <w:lang w:val="sq-AL"/>
        </w:rPr>
        <w:t>pretendimet e parashtruara</w:t>
      </w:r>
      <w:r w:rsidR="00BD59F7" w:rsidRPr="00AB2AAC">
        <w:rPr>
          <w:bCs/>
          <w:lang w:val="sq-AL"/>
        </w:rPr>
        <w:t xml:space="preserve"> nga kërkuesi</w:t>
      </w:r>
      <w:r w:rsidR="00D22D08" w:rsidRPr="00AB2AAC">
        <w:rPr>
          <w:bCs/>
          <w:lang w:val="sq-AL"/>
        </w:rPr>
        <w:t xml:space="preserve"> nuk janë të bazuara. Fakti se ndjekja e disa veprave penale, si ajo në shqyrtim nga gjykata referuese, fi</w:t>
      </w:r>
      <w:r w:rsidR="00BD59F7" w:rsidRPr="00AB2AAC">
        <w:rPr>
          <w:bCs/>
          <w:lang w:val="sq-AL"/>
        </w:rPr>
        <w:t xml:space="preserve">llon me ankimin e të dëmtuarit, </w:t>
      </w:r>
      <w:r w:rsidR="00D22D08" w:rsidRPr="00AB2AAC">
        <w:rPr>
          <w:lang w:val="sq-AL"/>
        </w:rPr>
        <w:t xml:space="preserve">nuk do të thotë se ato duhet të përjashtohen nga amnistia nëse ekzistojnë kriteret e përcaktuara nga ligjvënësi për këtë të fundit. </w:t>
      </w:r>
      <w:r w:rsidR="00BD59F7" w:rsidRPr="00AB2AAC">
        <w:rPr>
          <w:lang w:val="sq-AL"/>
        </w:rPr>
        <w:t xml:space="preserve">Amnistia nuk lidhet me faktin se kush e vë në lëvizje procesin penal, shteti (prokuroria) apo individi (i dëmtuari). Ajo përfaqëson, në vetvete, një akt juridik dhe politik që reflekton qëndrimin dhe vlerësimin e organit kompetent (Kuvendit) në një moment të caktuar ndaj veprave penale apo shkeljeve të ligjit dhe autorëve të tyre. </w:t>
      </w:r>
    </w:p>
    <w:p w:rsidR="00AE157E" w:rsidRPr="00AB2AAC" w:rsidRDefault="00BD59F7" w:rsidP="00D8088C">
      <w:pPr>
        <w:spacing w:line="360" w:lineRule="auto"/>
        <w:ind w:firstLine="720"/>
        <w:jc w:val="both"/>
        <w:rPr>
          <w:lang w:val="sq-AL"/>
        </w:rPr>
      </w:pPr>
      <w:r w:rsidRPr="00AB2AAC">
        <w:rPr>
          <w:lang w:val="sq-AL"/>
        </w:rPr>
        <w:t>19</w:t>
      </w:r>
      <w:r w:rsidR="008C275A" w:rsidRPr="00AB2AAC">
        <w:rPr>
          <w:lang w:val="sq-AL"/>
        </w:rPr>
        <w:t xml:space="preserve">. </w:t>
      </w:r>
      <w:r w:rsidRPr="00AB2AAC">
        <w:rPr>
          <w:lang w:val="sq-AL"/>
        </w:rPr>
        <w:t xml:space="preserve">Për sa më lart, me gjithë përpjekjet serioze të gjykatës referuese për të evidentuar standardet kushtetuese potencialisht të cenuara, </w:t>
      </w:r>
      <w:r w:rsidR="00CA7EA9" w:rsidRPr="00AB2AAC">
        <w:rPr>
          <w:color w:val="000000"/>
          <w:lang w:val="sq-AL"/>
        </w:rPr>
        <w:t>Kolegji arrin në përfundimin se kërkesa nuk mund të kalojë për shqyrtim në seancë plenare.</w:t>
      </w:r>
    </w:p>
    <w:p w:rsidR="00B10DFB" w:rsidRDefault="00B10DFB" w:rsidP="00047611">
      <w:pPr>
        <w:shd w:val="clear" w:color="auto" w:fill="FFFFFF"/>
        <w:spacing w:line="360" w:lineRule="auto"/>
        <w:jc w:val="center"/>
        <w:rPr>
          <w:b/>
          <w:lang w:val="sq-AL"/>
        </w:rPr>
      </w:pPr>
    </w:p>
    <w:p w:rsidR="009457EE" w:rsidRPr="00AB2AAC" w:rsidRDefault="009457EE" w:rsidP="00047611">
      <w:pPr>
        <w:shd w:val="clear" w:color="auto" w:fill="FFFFFF"/>
        <w:spacing w:line="360" w:lineRule="auto"/>
        <w:jc w:val="center"/>
        <w:rPr>
          <w:b/>
          <w:lang w:val="sq-AL"/>
        </w:rPr>
      </w:pPr>
      <w:r w:rsidRPr="00AB2AAC">
        <w:rPr>
          <w:b/>
          <w:lang w:val="sq-AL"/>
        </w:rPr>
        <w:t>PËR KËTO ARSYE,</w:t>
      </w:r>
    </w:p>
    <w:p w:rsidR="009457EE" w:rsidRDefault="009457EE" w:rsidP="00047611">
      <w:pPr>
        <w:spacing w:line="360" w:lineRule="auto"/>
        <w:ind w:firstLine="720"/>
        <w:jc w:val="both"/>
        <w:rPr>
          <w:lang w:val="sq-AL"/>
        </w:rPr>
      </w:pPr>
      <w:r w:rsidRPr="00AB2AAC">
        <w:rPr>
          <w:lang w:val="sq-AL"/>
        </w:rPr>
        <w:t>Kolegji i Gjykatës Kushtetuese të Republikës së Shqipërisë, në bazë të nenit 31 të ligjit nr.</w:t>
      </w:r>
      <w:r w:rsidR="009C11E7" w:rsidRPr="00AB2AAC">
        <w:rPr>
          <w:lang w:val="sq-AL"/>
        </w:rPr>
        <w:t xml:space="preserve"> </w:t>
      </w:r>
      <w:r w:rsidRPr="00AB2AAC">
        <w:rPr>
          <w:lang w:val="sq-AL"/>
        </w:rPr>
        <w:t>8577, datë 10.02.2000 “Për organizimin dhe funksionimin e Gjykatës Kushtetuese të Republikës së Shqipërisë”,</w:t>
      </w:r>
    </w:p>
    <w:p w:rsidR="00B10DFB" w:rsidRPr="00AB2AAC" w:rsidRDefault="00B10DFB" w:rsidP="00047611">
      <w:pPr>
        <w:spacing w:line="360" w:lineRule="auto"/>
        <w:ind w:firstLine="720"/>
        <w:jc w:val="both"/>
        <w:rPr>
          <w:lang w:val="sq-AL"/>
        </w:rPr>
      </w:pPr>
    </w:p>
    <w:p w:rsidR="009457EE" w:rsidRPr="00AB2AAC" w:rsidRDefault="009457EE" w:rsidP="00047611">
      <w:pPr>
        <w:spacing w:line="360" w:lineRule="auto"/>
        <w:jc w:val="center"/>
        <w:rPr>
          <w:b/>
          <w:bCs/>
          <w:lang w:val="sq-AL"/>
        </w:rPr>
      </w:pPr>
      <w:r w:rsidRPr="00AB2AAC">
        <w:rPr>
          <w:b/>
          <w:bCs/>
          <w:lang w:val="sq-AL"/>
        </w:rPr>
        <w:t>V E N D O S I:</w:t>
      </w:r>
    </w:p>
    <w:p w:rsidR="009457EE" w:rsidRPr="00AB2AAC" w:rsidRDefault="009457EE" w:rsidP="00047611">
      <w:pPr>
        <w:spacing w:line="360" w:lineRule="auto"/>
        <w:ind w:firstLine="720"/>
        <w:jc w:val="both"/>
        <w:rPr>
          <w:lang w:val="sq-AL"/>
        </w:rPr>
      </w:pPr>
      <w:r w:rsidRPr="00AB2AAC">
        <w:rPr>
          <w:lang w:val="sq-AL"/>
        </w:rPr>
        <w:t>Moskalimin e çështjes për shqyrtim në seancë plenare.</w:t>
      </w:r>
    </w:p>
    <w:sectPr w:rsidR="009457EE" w:rsidRPr="00AB2AAC" w:rsidSect="00C727EC">
      <w:footerReference w:type="even" r:id="rId7"/>
      <w:footerReference w:type="default" r:id="rId8"/>
      <w:footerReference w:type="first" r:id="rId9"/>
      <w:pgSz w:w="12240" w:h="15840" w:code="1"/>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6545" w:rsidRDefault="00AC6545">
      <w:r>
        <w:separator/>
      </w:r>
    </w:p>
  </w:endnote>
  <w:endnote w:type="continuationSeparator" w:id="1">
    <w:p w:rsidR="00AC6545" w:rsidRDefault="00AC65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ABE" w:rsidRDefault="00734844" w:rsidP="00E32A7D">
    <w:pPr>
      <w:pStyle w:val="Footer"/>
      <w:framePr w:wrap="around" w:vAnchor="text" w:hAnchor="margin" w:xAlign="right" w:y="1"/>
      <w:rPr>
        <w:rStyle w:val="PageNumber"/>
      </w:rPr>
    </w:pPr>
    <w:r>
      <w:rPr>
        <w:rStyle w:val="PageNumber"/>
      </w:rPr>
      <w:fldChar w:fldCharType="begin"/>
    </w:r>
    <w:r w:rsidR="00BA0ABE">
      <w:rPr>
        <w:rStyle w:val="PageNumber"/>
      </w:rPr>
      <w:instrText xml:space="preserve">PAGE  </w:instrText>
    </w:r>
    <w:r>
      <w:rPr>
        <w:rStyle w:val="PageNumber"/>
      </w:rPr>
      <w:fldChar w:fldCharType="end"/>
    </w:r>
  </w:p>
  <w:p w:rsidR="00BA0ABE" w:rsidRDefault="00BA0ABE" w:rsidP="00FE294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15200"/>
      <w:docPartObj>
        <w:docPartGallery w:val="Page Numbers (Bottom of Page)"/>
        <w:docPartUnique/>
      </w:docPartObj>
    </w:sdtPr>
    <w:sdtContent>
      <w:p w:rsidR="00EC463C" w:rsidRDefault="00734844">
        <w:pPr>
          <w:pStyle w:val="Footer"/>
          <w:jc w:val="right"/>
        </w:pPr>
        <w:fldSimple w:instr=" PAGE   \* MERGEFORMAT ">
          <w:r w:rsidR="00C727EC">
            <w:rPr>
              <w:noProof/>
            </w:rPr>
            <w:t>7</w:t>
          </w:r>
        </w:fldSimple>
      </w:p>
    </w:sdtContent>
  </w:sdt>
  <w:p w:rsidR="00BA0ABE" w:rsidRDefault="00BA0ABE" w:rsidP="00FE2949">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15199"/>
      <w:docPartObj>
        <w:docPartGallery w:val="Page Numbers (Bottom of Page)"/>
        <w:docPartUnique/>
      </w:docPartObj>
    </w:sdtPr>
    <w:sdtContent>
      <w:p w:rsidR="00EC463C" w:rsidRDefault="00734844">
        <w:pPr>
          <w:pStyle w:val="Footer"/>
          <w:jc w:val="right"/>
        </w:pPr>
        <w:fldSimple w:instr=" PAGE   \* MERGEFORMAT ">
          <w:r w:rsidR="00C727EC">
            <w:rPr>
              <w:noProof/>
            </w:rPr>
            <w:t>1</w:t>
          </w:r>
        </w:fldSimple>
      </w:p>
    </w:sdtContent>
  </w:sdt>
  <w:p w:rsidR="00424AE4" w:rsidRDefault="00424AE4" w:rsidP="00424AE4">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6545" w:rsidRDefault="00AC6545">
      <w:r>
        <w:separator/>
      </w:r>
    </w:p>
  </w:footnote>
  <w:footnote w:type="continuationSeparator" w:id="1">
    <w:p w:rsidR="00AC6545" w:rsidRDefault="00AC65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96C8F"/>
    <w:multiLevelType w:val="hybridMultilevel"/>
    <w:tmpl w:val="9CB67008"/>
    <w:lvl w:ilvl="0" w:tplc="62E43C48">
      <w:start w:val="1"/>
      <w:numFmt w:val="decimal"/>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3A143A5"/>
    <w:multiLevelType w:val="hybridMultilevel"/>
    <w:tmpl w:val="78A616BE"/>
    <w:lvl w:ilvl="0" w:tplc="9036ED7E">
      <w:start w:val="3"/>
      <w:numFmt w:val="upperLetter"/>
      <w:lvlText w:val="%1."/>
      <w:lvlJc w:val="left"/>
      <w:pPr>
        <w:tabs>
          <w:tab w:val="num" w:pos="1080"/>
        </w:tabs>
        <w:ind w:left="1080" w:hanging="360"/>
      </w:pPr>
      <w:rPr>
        <w:rFonts w:hint="default"/>
      </w:r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2">
    <w:nsid w:val="1590762D"/>
    <w:multiLevelType w:val="hybridMultilevel"/>
    <w:tmpl w:val="80F2341A"/>
    <w:lvl w:ilvl="0" w:tplc="30548F96">
      <w:start w:val="1"/>
      <w:numFmt w:val="decimal"/>
      <w:lvlText w:val="3.%1."/>
      <w:lvlJc w:val="left"/>
      <w:pPr>
        <w:ind w:left="1080" w:hanging="360"/>
      </w:pPr>
      <w:rPr>
        <w:rFonts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3C211FC"/>
    <w:multiLevelType w:val="hybridMultilevel"/>
    <w:tmpl w:val="FF7A7588"/>
    <w:lvl w:ilvl="0" w:tplc="7EC0F112">
      <w:start w:val="8"/>
      <w:numFmt w:val="decimal"/>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5E743B7"/>
    <w:multiLevelType w:val="hybridMultilevel"/>
    <w:tmpl w:val="864A2AFC"/>
    <w:lvl w:ilvl="0" w:tplc="B9FED5B8">
      <w:start w:val="1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2347B21"/>
    <w:multiLevelType w:val="hybridMultilevel"/>
    <w:tmpl w:val="060A2CC6"/>
    <w:lvl w:ilvl="0" w:tplc="CA98BAC8">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512825F3"/>
    <w:multiLevelType w:val="hybridMultilevel"/>
    <w:tmpl w:val="41F47C90"/>
    <w:lvl w:ilvl="0" w:tplc="5D727796">
      <w:start w:val="11"/>
      <w:numFmt w:val="decimal"/>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4"/>
  </w:num>
  <w:num w:numId="3">
    <w:abstractNumId w:val="2"/>
  </w:num>
  <w:num w:numId="4">
    <w:abstractNumId w:val="6"/>
  </w:num>
  <w:num w:numId="5">
    <w:abstractNumId w:val="3"/>
  </w:num>
  <w:num w:numId="6">
    <w:abstractNumId w:val="5"/>
  </w:num>
  <w:num w:numId="7">
    <w:abstractNumId w:val="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20"/>
  <w:displayHorizontalDrawingGridEvery w:val="2"/>
  <w:noPunctuationKerning/>
  <w:characterSpacingControl w:val="doNotCompress"/>
  <w:footnotePr>
    <w:footnote w:id="0"/>
    <w:footnote w:id="1"/>
  </w:footnotePr>
  <w:endnotePr>
    <w:endnote w:id="0"/>
    <w:endnote w:id="1"/>
  </w:endnotePr>
  <w:compat/>
  <w:rsids>
    <w:rsidRoot w:val="00C72F66"/>
    <w:rsid w:val="00001CF9"/>
    <w:rsid w:val="000025A0"/>
    <w:rsid w:val="000057E9"/>
    <w:rsid w:val="0000643C"/>
    <w:rsid w:val="00012182"/>
    <w:rsid w:val="00014A42"/>
    <w:rsid w:val="00014DC4"/>
    <w:rsid w:val="0001603C"/>
    <w:rsid w:val="000160DE"/>
    <w:rsid w:val="00020591"/>
    <w:rsid w:val="00020FE1"/>
    <w:rsid w:val="00021E84"/>
    <w:rsid w:val="000225CB"/>
    <w:rsid w:val="00026EDC"/>
    <w:rsid w:val="00027C94"/>
    <w:rsid w:val="00030CED"/>
    <w:rsid w:val="00032A86"/>
    <w:rsid w:val="00032FB9"/>
    <w:rsid w:val="00041A1D"/>
    <w:rsid w:val="00042842"/>
    <w:rsid w:val="00043B92"/>
    <w:rsid w:val="0004467E"/>
    <w:rsid w:val="00044AFB"/>
    <w:rsid w:val="0004627A"/>
    <w:rsid w:val="00047300"/>
    <w:rsid w:val="00047611"/>
    <w:rsid w:val="00051773"/>
    <w:rsid w:val="000563EE"/>
    <w:rsid w:val="000564A9"/>
    <w:rsid w:val="000600F8"/>
    <w:rsid w:val="00061756"/>
    <w:rsid w:val="00061929"/>
    <w:rsid w:val="00062987"/>
    <w:rsid w:val="0006355E"/>
    <w:rsid w:val="00064371"/>
    <w:rsid w:val="000665C6"/>
    <w:rsid w:val="0006697B"/>
    <w:rsid w:val="00073A8C"/>
    <w:rsid w:val="00075E67"/>
    <w:rsid w:val="0007659A"/>
    <w:rsid w:val="0007723D"/>
    <w:rsid w:val="00077EFC"/>
    <w:rsid w:val="00080C0E"/>
    <w:rsid w:val="000828BB"/>
    <w:rsid w:val="000832AE"/>
    <w:rsid w:val="00083C7E"/>
    <w:rsid w:val="000919D0"/>
    <w:rsid w:val="00092E36"/>
    <w:rsid w:val="00097287"/>
    <w:rsid w:val="000A319B"/>
    <w:rsid w:val="000A4703"/>
    <w:rsid w:val="000A7FEC"/>
    <w:rsid w:val="000B0868"/>
    <w:rsid w:val="000B6A53"/>
    <w:rsid w:val="000C0331"/>
    <w:rsid w:val="000C23C4"/>
    <w:rsid w:val="000C268A"/>
    <w:rsid w:val="000C29D1"/>
    <w:rsid w:val="000C3207"/>
    <w:rsid w:val="000C3722"/>
    <w:rsid w:val="000C5210"/>
    <w:rsid w:val="000C6952"/>
    <w:rsid w:val="000C6CA8"/>
    <w:rsid w:val="000D1A42"/>
    <w:rsid w:val="000D2312"/>
    <w:rsid w:val="000D47AE"/>
    <w:rsid w:val="000D4BAE"/>
    <w:rsid w:val="000E048B"/>
    <w:rsid w:val="000E1C54"/>
    <w:rsid w:val="000E3935"/>
    <w:rsid w:val="000E44B9"/>
    <w:rsid w:val="000E51E8"/>
    <w:rsid w:val="000E5B98"/>
    <w:rsid w:val="000E6CE5"/>
    <w:rsid w:val="000F1DAF"/>
    <w:rsid w:val="000F219B"/>
    <w:rsid w:val="000F2208"/>
    <w:rsid w:val="000F377F"/>
    <w:rsid w:val="000F4685"/>
    <w:rsid w:val="001006D8"/>
    <w:rsid w:val="001025DB"/>
    <w:rsid w:val="0010367C"/>
    <w:rsid w:val="0010467C"/>
    <w:rsid w:val="00111B1C"/>
    <w:rsid w:val="00111FCA"/>
    <w:rsid w:val="00113FAE"/>
    <w:rsid w:val="0011508F"/>
    <w:rsid w:val="00115D7D"/>
    <w:rsid w:val="00117E60"/>
    <w:rsid w:val="001214C8"/>
    <w:rsid w:val="00121504"/>
    <w:rsid w:val="0012415C"/>
    <w:rsid w:val="001244B0"/>
    <w:rsid w:val="00125CAE"/>
    <w:rsid w:val="00126A1B"/>
    <w:rsid w:val="00127252"/>
    <w:rsid w:val="00134BE4"/>
    <w:rsid w:val="00136D2C"/>
    <w:rsid w:val="00136E44"/>
    <w:rsid w:val="00143058"/>
    <w:rsid w:val="001442CD"/>
    <w:rsid w:val="00147EE0"/>
    <w:rsid w:val="00150004"/>
    <w:rsid w:val="00150C4D"/>
    <w:rsid w:val="00151267"/>
    <w:rsid w:val="001517A1"/>
    <w:rsid w:val="00152536"/>
    <w:rsid w:val="00154E2D"/>
    <w:rsid w:val="00155C1E"/>
    <w:rsid w:val="00156282"/>
    <w:rsid w:val="00156E84"/>
    <w:rsid w:val="001571D8"/>
    <w:rsid w:val="00157D50"/>
    <w:rsid w:val="00162EB5"/>
    <w:rsid w:val="00163AC5"/>
    <w:rsid w:val="001643B3"/>
    <w:rsid w:val="00164DD9"/>
    <w:rsid w:val="0017380F"/>
    <w:rsid w:val="00174AFE"/>
    <w:rsid w:val="00175A1C"/>
    <w:rsid w:val="00175D79"/>
    <w:rsid w:val="00181786"/>
    <w:rsid w:val="001858DD"/>
    <w:rsid w:val="001876BD"/>
    <w:rsid w:val="00193AF9"/>
    <w:rsid w:val="00193B04"/>
    <w:rsid w:val="00194D35"/>
    <w:rsid w:val="0019594E"/>
    <w:rsid w:val="00195B4D"/>
    <w:rsid w:val="00195BD2"/>
    <w:rsid w:val="00195F36"/>
    <w:rsid w:val="001A5492"/>
    <w:rsid w:val="001B2ADC"/>
    <w:rsid w:val="001B3BA2"/>
    <w:rsid w:val="001B4244"/>
    <w:rsid w:val="001B4306"/>
    <w:rsid w:val="001B4B8F"/>
    <w:rsid w:val="001B4D9A"/>
    <w:rsid w:val="001B5163"/>
    <w:rsid w:val="001B70A4"/>
    <w:rsid w:val="001B77DA"/>
    <w:rsid w:val="001C011D"/>
    <w:rsid w:val="001C25AC"/>
    <w:rsid w:val="001C3436"/>
    <w:rsid w:val="001C3A04"/>
    <w:rsid w:val="001C5FBC"/>
    <w:rsid w:val="001C6334"/>
    <w:rsid w:val="001C6EFF"/>
    <w:rsid w:val="001C79DB"/>
    <w:rsid w:val="001C7E5B"/>
    <w:rsid w:val="001D3DFA"/>
    <w:rsid w:val="001E0790"/>
    <w:rsid w:val="001E0FEF"/>
    <w:rsid w:val="001E3EA7"/>
    <w:rsid w:val="001E72A8"/>
    <w:rsid w:val="001E7442"/>
    <w:rsid w:val="001F0415"/>
    <w:rsid w:val="001F1986"/>
    <w:rsid w:val="001F1EFD"/>
    <w:rsid w:val="001F4260"/>
    <w:rsid w:val="001F5E52"/>
    <w:rsid w:val="001F64D7"/>
    <w:rsid w:val="001F6760"/>
    <w:rsid w:val="001F77CD"/>
    <w:rsid w:val="001F7F70"/>
    <w:rsid w:val="0020147A"/>
    <w:rsid w:val="002019E3"/>
    <w:rsid w:val="0020684E"/>
    <w:rsid w:val="00207CA6"/>
    <w:rsid w:val="00211F00"/>
    <w:rsid w:val="00212420"/>
    <w:rsid w:val="0021264F"/>
    <w:rsid w:val="00213820"/>
    <w:rsid w:val="0021560E"/>
    <w:rsid w:val="00215BB3"/>
    <w:rsid w:val="002206F0"/>
    <w:rsid w:val="00221986"/>
    <w:rsid w:val="00223DE7"/>
    <w:rsid w:val="00223FD0"/>
    <w:rsid w:val="002259F0"/>
    <w:rsid w:val="00227207"/>
    <w:rsid w:val="00230DF9"/>
    <w:rsid w:val="00232207"/>
    <w:rsid w:val="0023762D"/>
    <w:rsid w:val="00240A32"/>
    <w:rsid w:val="00240BE7"/>
    <w:rsid w:val="00240E87"/>
    <w:rsid w:val="00245241"/>
    <w:rsid w:val="00250A1C"/>
    <w:rsid w:val="00250D0F"/>
    <w:rsid w:val="00251942"/>
    <w:rsid w:val="00253BCB"/>
    <w:rsid w:val="002555DC"/>
    <w:rsid w:val="00255DD8"/>
    <w:rsid w:val="0025615F"/>
    <w:rsid w:val="002578A3"/>
    <w:rsid w:val="002579CB"/>
    <w:rsid w:val="00260BAD"/>
    <w:rsid w:val="00260F43"/>
    <w:rsid w:val="00261077"/>
    <w:rsid w:val="00263391"/>
    <w:rsid w:val="0026584B"/>
    <w:rsid w:val="00265D31"/>
    <w:rsid w:val="002669BD"/>
    <w:rsid w:val="0027237D"/>
    <w:rsid w:val="00273305"/>
    <w:rsid w:val="00274A94"/>
    <w:rsid w:val="00275E8D"/>
    <w:rsid w:val="002760C5"/>
    <w:rsid w:val="0028018C"/>
    <w:rsid w:val="00280C65"/>
    <w:rsid w:val="0028540A"/>
    <w:rsid w:val="00291466"/>
    <w:rsid w:val="0029233B"/>
    <w:rsid w:val="0029331F"/>
    <w:rsid w:val="00293EDF"/>
    <w:rsid w:val="00294226"/>
    <w:rsid w:val="0029533C"/>
    <w:rsid w:val="00297C4A"/>
    <w:rsid w:val="002A0AFF"/>
    <w:rsid w:val="002A204E"/>
    <w:rsid w:val="002A45F8"/>
    <w:rsid w:val="002A4E84"/>
    <w:rsid w:val="002A7584"/>
    <w:rsid w:val="002B0056"/>
    <w:rsid w:val="002B1C90"/>
    <w:rsid w:val="002B4184"/>
    <w:rsid w:val="002B5959"/>
    <w:rsid w:val="002B7044"/>
    <w:rsid w:val="002C0ED5"/>
    <w:rsid w:val="002C1EFE"/>
    <w:rsid w:val="002C6DED"/>
    <w:rsid w:val="002C762C"/>
    <w:rsid w:val="002D3D11"/>
    <w:rsid w:val="002E1214"/>
    <w:rsid w:val="002E16F6"/>
    <w:rsid w:val="002E5251"/>
    <w:rsid w:val="002E59B9"/>
    <w:rsid w:val="002E61A3"/>
    <w:rsid w:val="002F2AF2"/>
    <w:rsid w:val="002F43C7"/>
    <w:rsid w:val="00300825"/>
    <w:rsid w:val="00301FBE"/>
    <w:rsid w:val="0030270A"/>
    <w:rsid w:val="00304A80"/>
    <w:rsid w:val="00313FBC"/>
    <w:rsid w:val="0031512A"/>
    <w:rsid w:val="003154F1"/>
    <w:rsid w:val="00315C68"/>
    <w:rsid w:val="00321545"/>
    <w:rsid w:val="00321581"/>
    <w:rsid w:val="00322842"/>
    <w:rsid w:val="00323147"/>
    <w:rsid w:val="003240FF"/>
    <w:rsid w:val="00324FA6"/>
    <w:rsid w:val="00325AA0"/>
    <w:rsid w:val="00333394"/>
    <w:rsid w:val="0033462A"/>
    <w:rsid w:val="00334EC6"/>
    <w:rsid w:val="00335086"/>
    <w:rsid w:val="00335DAF"/>
    <w:rsid w:val="00340EB9"/>
    <w:rsid w:val="00343C7F"/>
    <w:rsid w:val="00344F68"/>
    <w:rsid w:val="003458C7"/>
    <w:rsid w:val="00345D72"/>
    <w:rsid w:val="003466D2"/>
    <w:rsid w:val="003472AC"/>
    <w:rsid w:val="00347C70"/>
    <w:rsid w:val="00350DDA"/>
    <w:rsid w:val="0035338A"/>
    <w:rsid w:val="003536E2"/>
    <w:rsid w:val="00355586"/>
    <w:rsid w:val="003568BA"/>
    <w:rsid w:val="00357A8E"/>
    <w:rsid w:val="00360AD2"/>
    <w:rsid w:val="00360E48"/>
    <w:rsid w:val="003642D5"/>
    <w:rsid w:val="00364738"/>
    <w:rsid w:val="003654C1"/>
    <w:rsid w:val="00365A3D"/>
    <w:rsid w:val="00371320"/>
    <w:rsid w:val="003728CC"/>
    <w:rsid w:val="0037568C"/>
    <w:rsid w:val="0037642E"/>
    <w:rsid w:val="003772EB"/>
    <w:rsid w:val="00377B4A"/>
    <w:rsid w:val="00377F24"/>
    <w:rsid w:val="00384E88"/>
    <w:rsid w:val="00384E98"/>
    <w:rsid w:val="0038562D"/>
    <w:rsid w:val="0038599B"/>
    <w:rsid w:val="00385A75"/>
    <w:rsid w:val="0038637C"/>
    <w:rsid w:val="00386C63"/>
    <w:rsid w:val="00394578"/>
    <w:rsid w:val="003952D4"/>
    <w:rsid w:val="00396385"/>
    <w:rsid w:val="00396B14"/>
    <w:rsid w:val="003975D2"/>
    <w:rsid w:val="0039790C"/>
    <w:rsid w:val="003A2A86"/>
    <w:rsid w:val="003A5BAB"/>
    <w:rsid w:val="003B345B"/>
    <w:rsid w:val="003B3601"/>
    <w:rsid w:val="003B3966"/>
    <w:rsid w:val="003B619D"/>
    <w:rsid w:val="003B744B"/>
    <w:rsid w:val="003C07BB"/>
    <w:rsid w:val="003C11DC"/>
    <w:rsid w:val="003C16A1"/>
    <w:rsid w:val="003C2048"/>
    <w:rsid w:val="003C6353"/>
    <w:rsid w:val="003D03EB"/>
    <w:rsid w:val="003D306E"/>
    <w:rsid w:val="003D4FEB"/>
    <w:rsid w:val="003E1A58"/>
    <w:rsid w:val="003E30B5"/>
    <w:rsid w:val="003E4094"/>
    <w:rsid w:val="003E5D19"/>
    <w:rsid w:val="003F2D1D"/>
    <w:rsid w:val="003F2DDF"/>
    <w:rsid w:val="003F3566"/>
    <w:rsid w:val="003F3899"/>
    <w:rsid w:val="003F4D27"/>
    <w:rsid w:val="003F7640"/>
    <w:rsid w:val="003F7BDB"/>
    <w:rsid w:val="00402F7C"/>
    <w:rsid w:val="00403B75"/>
    <w:rsid w:val="00404CCD"/>
    <w:rsid w:val="0040758B"/>
    <w:rsid w:val="00411A3F"/>
    <w:rsid w:val="00421006"/>
    <w:rsid w:val="00422D23"/>
    <w:rsid w:val="00424AE4"/>
    <w:rsid w:val="00425010"/>
    <w:rsid w:val="004254B5"/>
    <w:rsid w:val="00425658"/>
    <w:rsid w:val="00426264"/>
    <w:rsid w:val="00427695"/>
    <w:rsid w:val="00430627"/>
    <w:rsid w:val="00430B25"/>
    <w:rsid w:val="004318F3"/>
    <w:rsid w:val="004356C8"/>
    <w:rsid w:val="004362D1"/>
    <w:rsid w:val="0043746B"/>
    <w:rsid w:val="00440ACA"/>
    <w:rsid w:val="004423A9"/>
    <w:rsid w:val="004430D1"/>
    <w:rsid w:val="0044327B"/>
    <w:rsid w:val="004434FB"/>
    <w:rsid w:val="004464A9"/>
    <w:rsid w:val="00446C50"/>
    <w:rsid w:val="00450782"/>
    <w:rsid w:val="00450B08"/>
    <w:rsid w:val="00450BE4"/>
    <w:rsid w:val="0045123B"/>
    <w:rsid w:val="00452B98"/>
    <w:rsid w:val="00456C77"/>
    <w:rsid w:val="004572D1"/>
    <w:rsid w:val="00463736"/>
    <w:rsid w:val="00463B85"/>
    <w:rsid w:val="004705FA"/>
    <w:rsid w:val="00473005"/>
    <w:rsid w:val="00474D78"/>
    <w:rsid w:val="00475372"/>
    <w:rsid w:val="00476A96"/>
    <w:rsid w:val="004771D1"/>
    <w:rsid w:val="00480425"/>
    <w:rsid w:val="0048063B"/>
    <w:rsid w:val="00486999"/>
    <w:rsid w:val="004871B2"/>
    <w:rsid w:val="00493D43"/>
    <w:rsid w:val="004944E9"/>
    <w:rsid w:val="00494852"/>
    <w:rsid w:val="00497B24"/>
    <w:rsid w:val="00497E6A"/>
    <w:rsid w:val="004A07AF"/>
    <w:rsid w:val="004A13BC"/>
    <w:rsid w:val="004A1A9D"/>
    <w:rsid w:val="004A377C"/>
    <w:rsid w:val="004A58EC"/>
    <w:rsid w:val="004B1541"/>
    <w:rsid w:val="004B325E"/>
    <w:rsid w:val="004B5A94"/>
    <w:rsid w:val="004B6D81"/>
    <w:rsid w:val="004C04F9"/>
    <w:rsid w:val="004C285E"/>
    <w:rsid w:val="004C47B1"/>
    <w:rsid w:val="004C65FB"/>
    <w:rsid w:val="004C666F"/>
    <w:rsid w:val="004C7165"/>
    <w:rsid w:val="004C7837"/>
    <w:rsid w:val="004D02C8"/>
    <w:rsid w:val="004D1F28"/>
    <w:rsid w:val="004D46A7"/>
    <w:rsid w:val="004D729F"/>
    <w:rsid w:val="004D7759"/>
    <w:rsid w:val="004E0C44"/>
    <w:rsid w:val="004E2716"/>
    <w:rsid w:val="004E70D0"/>
    <w:rsid w:val="004E76C0"/>
    <w:rsid w:val="004F5F39"/>
    <w:rsid w:val="0050024E"/>
    <w:rsid w:val="00500C70"/>
    <w:rsid w:val="00503B4A"/>
    <w:rsid w:val="00504521"/>
    <w:rsid w:val="005061ED"/>
    <w:rsid w:val="00506985"/>
    <w:rsid w:val="00510E6A"/>
    <w:rsid w:val="00511F20"/>
    <w:rsid w:val="00512190"/>
    <w:rsid w:val="005175E1"/>
    <w:rsid w:val="0052042F"/>
    <w:rsid w:val="00525971"/>
    <w:rsid w:val="00525B59"/>
    <w:rsid w:val="00525B62"/>
    <w:rsid w:val="00526CE8"/>
    <w:rsid w:val="005329D8"/>
    <w:rsid w:val="005338EC"/>
    <w:rsid w:val="00534D24"/>
    <w:rsid w:val="00546177"/>
    <w:rsid w:val="00546A75"/>
    <w:rsid w:val="00547751"/>
    <w:rsid w:val="005554DF"/>
    <w:rsid w:val="005556BD"/>
    <w:rsid w:val="0056054B"/>
    <w:rsid w:val="00560879"/>
    <w:rsid w:val="005610AC"/>
    <w:rsid w:val="005610CB"/>
    <w:rsid w:val="00561435"/>
    <w:rsid w:val="00563901"/>
    <w:rsid w:val="0056395A"/>
    <w:rsid w:val="00564B37"/>
    <w:rsid w:val="0056670D"/>
    <w:rsid w:val="005709B0"/>
    <w:rsid w:val="00571466"/>
    <w:rsid w:val="00574018"/>
    <w:rsid w:val="00574E02"/>
    <w:rsid w:val="00576979"/>
    <w:rsid w:val="0057735E"/>
    <w:rsid w:val="005827F6"/>
    <w:rsid w:val="00582D79"/>
    <w:rsid w:val="0058453D"/>
    <w:rsid w:val="00585619"/>
    <w:rsid w:val="005876D5"/>
    <w:rsid w:val="00590CF1"/>
    <w:rsid w:val="00591D09"/>
    <w:rsid w:val="005938BC"/>
    <w:rsid w:val="00595A43"/>
    <w:rsid w:val="005A21E5"/>
    <w:rsid w:val="005A3F7C"/>
    <w:rsid w:val="005A5094"/>
    <w:rsid w:val="005A5DFF"/>
    <w:rsid w:val="005B2121"/>
    <w:rsid w:val="005B30E9"/>
    <w:rsid w:val="005B4091"/>
    <w:rsid w:val="005B4E00"/>
    <w:rsid w:val="005B5A04"/>
    <w:rsid w:val="005B7AD2"/>
    <w:rsid w:val="005C0540"/>
    <w:rsid w:val="005C0697"/>
    <w:rsid w:val="005C099C"/>
    <w:rsid w:val="005C2D89"/>
    <w:rsid w:val="005C41C9"/>
    <w:rsid w:val="005C461A"/>
    <w:rsid w:val="005C4FED"/>
    <w:rsid w:val="005C68E0"/>
    <w:rsid w:val="005C7B17"/>
    <w:rsid w:val="005D084C"/>
    <w:rsid w:val="005D1345"/>
    <w:rsid w:val="005D140C"/>
    <w:rsid w:val="005D43BD"/>
    <w:rsid w:val="005D441D"/>
    <w:rsid w:val="005D4A4E"/>
    <w:rsid w:val="005E0193"/>
    <w:rsid w:val="005E1C5E"/>
    <w:rsid w:val="005E252A"/>
    <w:rsid w:val="005E4886"/>
    <w:rsid w:val="005E7263"/>
    <w:rsid w:val="005E7A08"/>
    <w:rsid w:val="005F32BB"/>
    <w:rsid w:val="005F4BB6"/>
    <w:rsid w:val="005F66BE"/>
    <w:rsid w:val="005F7652"/>
    <w:rsid w:val="00600C3C"/>
    <w:rsid w:val="006026F2"/>
    <w:rsid w:val="00603F27"/>
    <w:rsid w:val="00604CB4"/>
    <w:rsid w:val="006057DC"/>
    <w:rsid w:val="00605A34"/>
    <w:rsid w:val="0060603B"/>
    <w:rsid w:val="00606673"/>
    <w:rsid w:val="00607E20"/>
    <w:rsid w:val="00611358"/>
    <w:rsid w:val="00612135"/>
    <w:rsid w:val="00612222"/>
    <w:rsid w:val="006123B5"/>
    <w:rsid w:val="006153B0"/>
    <w:rsid w:val="00615EF7"/>
    <w:rsid w:val="006165BF"/>
    <w:rsid w:val="0061718E"/>
    <w:rsid w:val="00620F6B"/>
    <w:rsid w:val="006219D3"/>
    <w:rsid w:val="00622B71"/>
    <w:rsid w:val="0062546C"/>
    <w:rsid w:val="0062634B"/>
    <w:rsid w:val="00626912"/>
    <w:rsid w:val="0063165A"/>
    <w:rsid w:val="00632595"/>
    <w:rsid w:val="00632618"/>
    <w:rsid w:val="00632BA6"/>
    <w:rsid w:val="00632F5A"/>
    <w:rsid w:val="00642531"/>
    <w:rsid w:val="00642E23"/>
    <w:rsid w:val="00651B04"/>
    <w:rsid w:val="006520D5"/>
    <w:rsid w:val="00654B2A"/>
    <w:rsid w:val="006578A8"/>
    <w:rsid w:val="00660169"/>
    <w:rsid w:val="006662BA"/>
    <w:rsid w:val="00666A1A"/>
    <w:rsid w:val="00667421"/>
    <w:rsid w:val="00667711"/>
    <w:rsid w:val="00667D3C"/>
    <w:rsid w:val="00670070"/>
    <w:rsid w:val="006718D8"/>
    <w:rsid w:val="00671B9A"/>
    <w:rsid w:val="00680852"/>
    <w:rsid w:val="006815BF"/>
    <w:rsid w:val="00681E38"/>
    <w:rsid w:val="0068286F"/>
    <w:rsid w:val="00684363"/>
    <w:rsid w:val="00685B49"/>
    <w:rsid w:val="00686AFA"/>
    <w:rsid w:val="00686E7D"/>
    <w:rsid w:val="006871F1"/>
    <w:rsid w:val="00687DF3"/>
    <w:rsid w:val="00691091"/>
    <w:rsid w:val="00692EC3"/>
    <w:rsid w:val="00694FC6"/>
    <w:rsid w:val="006A1FC9"/>
    <w:rsid w:val="006A63E9"/>
    <w:rsid w:val="006A76F3"/>
    <w:rsid w:val="006B0500"/>
    <w:rsid w:val="006B0A64"/>
    <w:rsid w:val="006B10B2"/>
    <w:rsid w:val="006B1212"/>
    <w:rsid w:val="006B314E"/>
    <w:rsid w:val="006B64CE"/>
    <w:rsid w:val="006B6AF8"/>
    <w:rsid w:val="006B7211"/>
    <w:rsid w:val="006B726E"/>
    <w:rsid w:val="006B78A1"/>
    <w:rsid w:val="006C71B6"/>
    <w:rsid w:val="006D33E8"/>
    <w:rsid w:val="006D4140"/>
    <w:rsid w:val="006D43A7"/>
    <w:rsid w:val="006D47A6"/>
    <w:rsid w:val="006D5844"/>
    <w:rsid w:val="006D61E4"/>
    <w:rsid w:val="006D785E"/>
    <w:rsid w:val="006D7AF3"/>
    <w:rsid w:val="006E0501"/>
    <w:rsid w:val="006E1C02"/>
    <w:rsid w:val="006E3744"/>
    <w:rsid w:val="006E3D3A"/>
    <w:rsid w:val="006E43C5"/>
    <w:rsid w:val="006E6745"/>
    <w:rsid w:val="006E7B89"/>
    <w:rsid w:val="006F143E"/>
    <w:rsid w:val="006F1A2E"/>
    <w:rsid w:val="006F5948"/>
    <w:rsid w:val="006F5BDD"/>
    <w:rsid w:val="006F652C"/>
    <w:rsid w:val="006F6B88"/>
    <w:rsid w:val="006F7184"/>
    <w:rsid w:val="00705CA8"/>
    <w:rsid w:val="00707896"/>
    <w:rsid w:val="00720C0C"/>
    <w:rsid w:val="007210E8"/>
    <w:rsid w:val="0072163A"/>
    <w:rsid w:val="00723854"/>
    <w:rsid w:val="00724224"/>
    <w:rsid w:val="007242B7"/>
    <w:rsid w:val="00724F8D"/>
    <w:rsid w:val="007272F3"/>
    <w:rsid w:val="007324B8"/>
    <w:rsid w:val="0073319B"/>
    <w:rsid w:val="00734844"/>
    <w:rsid w:val="00734B8C"/>
    <w:rsid w:val="007351D8"/>
    <w:rsid w:val="00741EFA"/>
    <w:rsid w:val="00742856"/>
    <w:rsid w:val="00742C5E"/>
    <w:rsid w:val="00743D81"/>
    <w:rsid w:val="00744FD3"/>
    <w:rsid w:val="00746BEA"/>
    <w:rsid w:val="00750C99"/>
    <w:rsid w:val="0075183C"/>
    <w:rsid w:val="007550B8"/>
    <w:rsid w:val="00756282"/>
    <w:rsid w:val="00757382"/>
    <w:rsid w:val="00761421"/>
    <w:rsid w:val="00761F9F"/>
    <w:rsid w:val="00764052"/>
    <w:rsid w:val="00764CBB"/>
    <w:rsid w:val="00767AC8"/>
    <w:rsid w:val="00770B17"/>
    <w:rsid w:val="00770FFB"/>
    <w:rsid w:val="007713FD"/>
    <w:rsid w:val="007719C3"/>
    <w:rsid w:val="00772B90"/>
    <w:rsid w:val="00773F14"/>
    <w:rsid w:val="00774634"/>
    <w:rsid w:val="0077610D"/>
    <w:rsid w:val="007772A7"/>
    <w:rsid w:val="00780FA7"/>
    <w:rsid w:val="0078432E"/>
    <w:rsid w:val="00784A23"/>
    <w:rsid w:val="0078555E"/>
    <w:rsid w:val="00786A46"/>
    <w:rsid w:val="00786C93"/>
    <w:rsid w:val="00791380"/>
    <w:rsid w:val="007921DF"/>
    <w:rsid w:val="00792D5B"/>
    <w:rsid w:val="00794E2A"/>
    <w:rsid w:val="00796B3E"/>
    <w:rsid w:val="007A251C"/>
    <w:rsid w:val="007A48DA"/>
    <w:rsid w:val="007A64D8"/>
    <w:rsid w:val="007A6AE3"/>
    <w:rsid w:val="007A7394"/>
    <w:rsid w:val="007B2D4A"/>
    <w:rsid w:val="007B47D9"/>
    <w:rsid w:val="007B4E38"/>
    <w:rsid w:val="007B5522"/>
    <w:rsid w:val="007B5A39"/>
    <w:rsid w:val="007B655C"/>
    <w:rsid w:val="007B73BA"/>
    <w:rsid w:val="007B73F7"/>
    <w:rsid w:val="007C1B48"/>
    <w:rsid w:val="007C5895"/>
    <w:rsid w:val="007C66A3"/>
    <w:rsid w:val="007D3A0F"/>
    <w:rsid w:val="007D44A9"/>
    <w:rsid w:val="007D6206"/>
    <w:rsid w:val="007E03B2"/>
    <w:rsid w:val="007E3165"/>
    <w:rsid w:val="007E3DAD"/>
    <w:rsid w:val="007E3F52"/>
    <w:rsid w:val="007E6C82"/>
    <w:rsid w:val="007E70AE"/>
    <w:rsid w:val="007F0155"/>
    <w:rsid w:val="007F0725"/>
    <w:rsid w:val="007F18EF"/>
    <w:rsid w:val="007F2471"/>
    <w:rsid w:val="007F3521"/>
    <w:rsid w:val="007F7DCC"/>
    <w:rsid w:val="0080169B"/>
    <w:rsid w:val="008028D3"/>
    <w:rsid w:val="00805A30"/>
    <w:rsid w:val="00810F39"/>
    <w:rsid w:val="0081275B"/>
    <w:rsid w:val="00814CE3"/>
    <w:rsid w:val="00815B0B"/>
    <w:rsid w:val="0081729F"/>
    <w:rsid w:val="0082088B"/>
    <w:rsid w:val="008226D4"/>
    <w:rsid w:val="008252E3"/>
    <w:rsid w:val="00826392"/>
    <w:rsid w:val="00833A0D"/>
    <w:rsid w:val="008377CF"/>
    <w:rsid w:val="00842246"/>
    <w:rsid w:val="00844A12"/>
    <w:rsid w:val="0084557B"/>
    <w:rsid w:val="00845965"/>
    <w:rsid w:val="00846A07"/>
    <w:rsid w:val="00846EB1"/>
    <w:rsid w:val="00846EBE"/>
    <w:rsid w:val="0084760A"/>
    <w:rsid w:val="00852026"/>
    <w:rsid w:val="0085515E"/>
    <w:rsid w:val="0085579F"/>
    <w:rsid w:val="00855CAE"/>
    <w:rsid w:val="0085602F"/>
    <w:rsid w:val="0085701E"/>
    <w:rsid w:val="00860E6C"/>
    <w:rsid w:val="00860F98"/>
    <w:rsid w:val="008621CA"/>
    <w:rsid w:val="00862A32"/>
    <w:rsid w:val="008636A6"/>
    <w:rsid w:val="00863820"/>
    <w:rsid w:val="00863DF3"/>
    <w:rsid w:val="00864223"/>
    <w:rsid w:val="0086642A"/>
    <w:rsid w:val="00871215"/>
    <w:rsid w:val="00873746"/>
    <w:rsid w:val="008800AC"/>
    <w:rsid w:val="00883575"/>
    <w:rsid w:val="00883DFE"/>
    <w:rsid w:val="00885307"/>
    <w:rsid w:val="008866D3"/>
    <w:rsid w:val="00890454"/>
    <w:rsid w:val="00891788"/>
    <w:rsid w:val="00892875"/>
    <w:rsid w:val="00893CC2"/>
    <w:rsid w:val="0089647A"/>
    <w:rsid w:val="00897726"/>
    <w:rsid w:val="008A1AFD"/>
    <w:rsid w:val="008A279C"/>
    <w:rsid w:val="008A40F8"/>
    <w:rsid w:val="008A6D50"/>
    <w:rsid w:val="008B0A04"/>
    <w:rsid w:val="008B37EA"/>
    <w:rsid w:val="008B4EAC"/>
    <w:rsid w:val="008B6CEB"/>
    <w:rsid w:val="008B79FB"/>
    <w:rsid w:val="008C275A"/>
    <w:rsid w:val="008C47C9"/>
    <w:rsid w:val="008C62AB"/>
    <w:rsid w:val="008C6C1D"/>
    <w:rsid w:val="008C7800"/>
    <w:rsid w:val="008C7B2F"/>
    <w:rsid w:val="008D0493"/>
    <w:rsid w:val="008D080B"/>
    <w:rsid w:val="008D0D0C"/>
    <w:rsid w:val="008D25EE"/>
    <w:rsid w:val="008D27F6"/>
    <w:rsid w:val="008D4DF7"/>
    <w:rsid w:val="008D54BB"/>
    <w:rsid w:val="008D5947"/>
    <w:rsid w:val="008D6747"/>
    <w:rsid w:val="008D6B0D"/>
    <w:rsid w:val="008D7ABD"/>
    <w:rsid w:val="008D7F46"/>
    <w:rsid w:val="008E1E43"/>
    <w:rsid w:val="008E2C7A"/>
    <w:rsid w:val="008E366F"/>
    <w:rsid w:val="008E42E0"/>
    <w:rsid w:val="008E44E6"/>
    <w:rsid w:val="008E59FC"/>
    <w:rsid w:val="008F17EA"/>
    <w:rsid w:val="008F2757"/>
    <w:rsid w:val="008F2883"/>
    <w:rsid w:val="008F2F5B"/>
    <w:rsid w:val="008F31DE"/>
    <w:rsid w:val="008F4002"/>
    <w:rsid w:val="008F4523"/>
    <w:rsid w:val="008F49B8"/>
    <w:rsid w:val="008F6544"/>
    <w:rsid w:val="00901C3F"/>
    <w:rsid w:val="0090228D"/>
    <w:rsid w:val="00903063"/>
    <w:rsid w:val="00903926"/>
    <w:rsid w:val="009068FB"/>
    <w:rsid w:val="00907AAF"/>
    <w:rsid w:val="0091059E"/>
    <w:rsid w:val="0091203D"/>
    <w:rsid w:val="00912264"/>
    <w:rsid w:val="00920274"/>
    <w:rsid w:val="009205E4"/>
    <w:rsid w:val="009231A0"/>
    <w:rsid w:val="00923680"/>
    <w:rsid w:val="00925916"/>
    <w:rsid w:val="0092687A"/>
    <w:rsid w:val="00927D0B"/>
    <w:rsid w:val="00927E1C"/>
    <w:rsid w:val="00930322"/>
    <w:rsid w:val="0093213A"/>
    <w:rsid w:val="00933F56"/>
    <w:rsid w:val="00942826"/>
    <w:rsid w:val="00944F01"/>
    <w:rsid w:val="009457D1"/>
    <w:rsid w:val="009457EE"/>
    <w:rsid w:val="0094580B"/>
    <w:rsid w:val="00945A06"/>
    <w:rsid w:val="009517AC"/>
    <w:rsid w:val="00952B9F"/>
    <w:rsid w:val="0095367A"/>
    <w:rsid w:val="0095421F"/>
    <w:rsid w:val="00954B58"/>
    <w:rsid w:val="00956198"/>
    <w:rsid w:val="00957EFB"/>
    <w:rsid w:val="00963FAC"/>
    <w:rsid w:val="00966AF2"/>
    <w:rsid w:val="0096790F"/>
    <w:rsid w:val="009704AB"/>
    <w:rsid w:val="0097057A"/>
    <w:rsid w:val="00972F03"/>
    <w:rsid w:val="009738D9"/>
    <w:rsid w:val="009738FF"/>
    <w:rsid w:val="00974479"/>
    <w:rsid w:val="00975C6B"/>
    <w:rsid w:val="009761D6"/>
    <w:rsid w:val="00983CFD"/>
    <w:rsid w:val="00984A7C"/>
    <w:rsid w:val="00986C6E"/>
    <w:rsid w:val="009910E5"/>
    <w:rsid w:val="00992C5F"/>
    <w:rsid w:val="00993232"/>
    <w:rsid w:val="00994C7C"/>
    <w:rsid w:val="009A2145"/>
    <w:rsid w:val="009A25BC"/>
    <w:rsid w:val="009A2C3F"/>
    <w:rsid w:val="009A2D7A"/>
    <w:rsid w:val="009A5D80"/>
    <w:rsid w:val="009A61B2"/>
    <w:rsid w:val="009B0982"/>
    <w:rsid w:val="009B1D57"/>
    <w:rsid w:val="009B44F1"/>
    <w:rsid w:val="009C0045"/>
    <w:rsid w:val="009C11E7"/>
    <w:rsid w:val="009C5616"/>
    <w:rsid w:val="009C6107"/>
    <w:rsid w:val="009D1B31"/>
    <w:rsid w:val="009D2EE2"/>
    <w:rsid w:val="009D65D6"/>
    <w:rsid w:val="009E23B9"/>
    <w:rsid w:val="009E334E"/>
    <w:rsid w:val="009E40EB"/>
    <w:rsid w:val="009F0BC7"/>
    <w:rsid w:val="009F4D6F"/>
    <w:rsid w:val="009F6279"/>
    <w:rsid w:val="009F640C"/>
    <w:rsid w:val="009F6DAC"/>
    <w:rsid w:val="009F7F73"/>
    <w:rsid w:val="00A00B17"/>
    <w:rsid w:val="00A03592"/>
    <w:rsid w:val="00A0583A"/>
    <w:rsid w:val="00A13293"/>
    <w:rsid w:val="00A13419"/>
    <w:rsid w:val="00A13DDB"/>
    <w:rsid w:val="00A14CB1"/>
    <w:rsid w:val="00A15AE4"/>
    <w:rsid w:val="00A163E3"/>
    <w:rsid w:val="00A16573"/>
    <w:rsid w:val="00A20A14"/>
    <w:rsid w:val="00A25A64"/>
    <w:rsid w:val="00A26445"/>
    <w:rsid w:val="00A27B5E"/>
    <w:rsid w:val="00A302F4"/>
    <w:rsid w:val="00A31DA1"/>
    <w:rsid w:val="00A31F6B"/>
    <w:rsid w:val="00A34383"/>
    <w:rsid w:val="00A35489"/>
    <w:rsid w:val="00A35C53"/>
    <w:rsid w:val="00A369E2"/>
    <w:rsid w:val="00A36D32"/>
    <w:rsid w:val="00A42328"/>
    <w:rsid w:val="00A43B59"/>
    <w:rsid w:val="00A448A8"/>
    <w:rsid w:val="00A52CB3"/>
    <w:rsid w:val="00A63617"/>
    <w:rsid w:val="00A6379E"/>
    <w:rsid w:val="00A66130"/>
    <w:rsid w:val="00A726EE"/>
    <w:rsid w:val="00A730F3"/>
    <w:rsid w:val="00A733E2"/>
    <w:rsid w:val="00A735BD"/>
    <w:rsid w:val="00A76059"/>
    <w:rsid w:val="00A7740E"/>
    <w:rsid w:val="00A80600"/>
    <w:rsid w:val="00A80FA0"/>
    <w:rsid w:val="00A8666E"/>
    <w:rsid w:val="00A93B0E"/>
    <w:rsid w:val="00A93DBF"/>
    <w:rsid w:val="00A93E0F"/>
    <w:rsid w:val="00A963A6"/>
    <w:rsid w:val="00A96F63"/>
    <w:rsid w:val="00A9799D"/>
    <w:rsid w:val="00A97D5E"/>
    <w:rsid w:val="00AA1100"/>
    <w:rsid w:val="00AA365C"/>
    <w:rsid w:val="00AA38C3"/>
    <w:rsid w:val="00AA5711"/>
    <w:rsid w:val="00AA750B"/>
    <w:rsid w:val="00AA78B6"/>
    <w:rsid w:val="00AB12F1"/>
    <w:rsid w:val="00AB2AAC"/>
    <w:rsid w:val="00AB2D6B"/>
    <w:rsid w:val="00AB35A7"/>
    <w:rsid w:val="00AB6531"/>
    <w:rsid w:val="00AC03A0"/>
    <w:rsid w:val="00AC0474"/>
    <w:rsid w:val="00AC1557"/>
    <w:rsid w:val="00AC1809"/>
    <w:rsid w:val="00AC2E6B"/>
    <w:rsid w:val="00AC308A"/>
    <w:rsid w:val="00AC3A17"/>
    <w:rsid w:val="00AC5656"/>
    <w:rsid w:val="00AC5C21"/>
    <w:rsid w:val="00AC6545"/>
    <w:rsid w:val="00AC6F87"/>
    <w:rsid w:val="00AC7DF2"/>
    <w:rsid w:val="00AD2D91"/>
    <w:rsid w:val="00AD38A6"/>
    <w:rsid w:val="00AD5D22"/>
    <w:rsid w:val="00AD6308"/>
    <w:rsid w:val="00AD6569"/>
    <w:rsid w:val="00AE157E"/>
    <w:rsid w:val="00AE4F4A"/>
    <w:rsid w:val="00AE545C"/>
    <w:rsid w:val="00AE5DD4"/>
    <w:rsid w:val="00AF1FE7"/>
    <w:rsid w:val="00AF3CC8"/>
    <w:rsid w:val="00AF41A5"/>
    <w:rsid w:val="00AF6E2E"/>
    <w:rsid w:val="00AF77CF"/>
    <w:rsid w:val="00B007F8"/>
    <w:rsid w:val="00B00C0D"/>
    <w:rsid w:val="00B02F05"/>
    <w:rsid w:val="00B030A2"/>
    <w:rsid w:val="00B0630B"/>
    <w:rsid w:val="00B06723"/>
    <w:rsid w:val="00B06D8B"/>
    <w:rsid w:val="00B0726C"/>
    <w:rsid w:val="00B072CE"/>
    <w:rsid w:val="00B079B4"/>
    <w:rsid w:val="00B07B96"/>
    <w:rsid w:val="00B100C4"/>
    <w:rsid w:val="00B10D3C"/>
    <w:rsid w:val="00B10DFB"/>
    <w:rsid w:val="00B130B3"/>
    <w:rsid w:val="00B13AA2"/>
    <w:rsid w:val="00B14622"/>
    <w:rsid w:val="00B1474D"/>
    <w:rsid w:val="00B203C3"/>
    <w:rsid w:val="00B236C5"/>
    <w:rsid w:val="00B240C8"/>
    <w:rsid w:val="00B25136"/>
    <w:rsid w:val="00B2613E"/>
    <w:rsid w:val="00B2684D"/>
    <w:rsid w:val="00B31F9B"/>
    <w:rsid w:val="00B32DF7"/>
    <w:rsid w:val="00B36D19"/>
    <w:rsid w:val="00B3772E"/>
    <w:rsid w:val="00B37967"/>
    <w:rsid w:val="00B42592"/>
    <w:rsid w:val="00B44480"/>
    <w:rsid w:val="00B445DE"/>
    <w:rsid w:val="00B44EC7"/>
    <w:rsid w:val="00B46B1D"/>
    <w:rsid w:val="00B47DBE"/>
    <w:rsid w:val="00B52536"/>
    <w:rsid w:val="00B535D7"/>
    <w:rsid w:val="00B56128"/>
    <w:rsid w:val="00B6112B"/>
    <w:rsid w:val="00B62A66"/>
    <w:rsid w:val="00B63321"/>
    <w:rsid w:val="00B6569F"/>
    <w:rsid w:val="00B67347"/>
    <w:rsid w:val="00B72B31"/>
    <w:rsid w:val="00B7434A"/>
    <w:rsid w:val="00B75EB0"/>
    <w:rsid w:val="00B76EB1"/>
    <w:rsid w:val="00B76FC5"/>
    <w:rsid w:val="00B807BE"/>
    <w:rsid w:val="00B8155F"/>
    <w:rsid w:val="00B8235E"/>
    <w:rsid w:val="00B82816"/>
    <w:rsid w:val="00B83EBE"/>
    <w:rsid w:val="00B84210"/>
    <w:rsid w:val="00B8426B"/>
    <w:rsid w:val="00B85584"/>
    <w:rsid w:val="00B86176"/>
    <w:rsid w:val="00B87A55"/>
    <w:rsid w:val="00B91258"/>
    <w:rsid w:val="00B91619"/>
    <w:rsid w:val="00B91DD2"/>
    <w:rsid w:val="00B94A6F"/>
    <w:rsid w:val="00B97094"/>
    <w:rsid w:val="00B97A3C"/>
    <w:rsid w:val="00BA0733"/>
    <w:rsid w:val="00BA0ABE"/>
    <w:rsid w:val="00BA2EEC"/>
    <w:rsid w:val="00BA3BB7"/>
    <w:rsid w:val="00BA7C88"/>
    <w:rsid w:val="00BB3A40"/>
    <w:rsid w:val="00BB3D71"/>
    <w:rsid w:val="00BB65C5"/>
    <w:rsid w:val="00BB6A0E"/>
    <w:rsid w:val="00BC35E3"/>
    <w:rsid w:val="00BC401A"/>
    <w:rsid w:val="00BC5ABF"/>
    <w:rsid w:val="00BD12B4"/>
    <w:rsid w:val="00BD1552"/>
    <w:rsid w:val="00BD4495"/>
    <w:rsid w:val="00BD451F"/>
    <w:rsid w:val="00BD4CAE"/>
    <w:rsid w:val="00BD4FF2"/>
    <w:rsid w:val="00BD59F7"/>
    <w:rsid w:val="00BD5E4F"/>
    <w:rsid w:val="00BD773E"/>
    <w:rsid w:val="00BE3A90"/>
    <w:rsid w:val="00BE539F"/>
    <w:rsid w:val="00BE65A0"/>
    <w:rsid w:val="00BE7092"/>
    <w:rsid w:val="00BE79AC"/>
    <w:rsid w:val="00BF0321"/>
    <w:rsid w:val="00BF600C"/>
    <w:rsid w:val="00BF76DA"/>
    <w:rsid w:val="00C00282"/>
    <w:rsid w:val="00C00C15"/>
    <w:rsid w:val="00C03906"/>
    <w:rsid w:val="00C05C92"/>
    <w:rsid w:val="00C104BC"/>
    <w:rsid w:val="00C1063C"/>
    <w:rsid w:val="00C11F02"/>
    <w:rsid w:val="00C12396"/>
    <w:rsid w:val="00C12EC4"/>
    <w:rsid w:val="00C1325A"/>
    <w:rsid w:val="00C133BD"/>
    <w:rsid w:val="00C160BC"/>
    <w:rsid w:val="00C17378"/>
    <w:rsid w:val="00C24D4E"/>
    <w:rsid w:val="00C25059"/>
    <w:rsid w:val="00C31234"/>
    <w:rsid w:val="00C3132A"/>
    <w:rsid w:val="00C328A2"/>
    <w:rsid w:val="00C3405D"/>
    <w:rsid w:val="00C35F1F"/>
    <w:rsid w:val="00C42D41"/>
    <w:rsid w:val="00C4413E"/>
    <w:rsid w:val="00C44402"/>
    <w:rsid w:val="00C4479C"/>
    <w:rsid w:val="00C47CC3"/>
    <w:rsid w:val="00C6149A"/>
    <w:rsid w:val="00C63A61"/>
    <w:rsid w:val="00C64A6D"/>
    <w:rsid w:val="00C727EC"/>
    <w:rsid w:val="00C72F66"/>
    <w:rsid w:val="00C752CC"/>
    <w:rsid w:val="00C809EE"/>
    <w:rsid w:val="00C81EC1"/>
    <w:rsid w:val="00C8288C"/>
    <w:rsid w:val="00C846BA"/>
    <w:rsid w:val="00C8625C"/>
    <w:rsid w:val="00C907D4"/>
    <w:rsid w:val="00C91CDC"/>
    <w:rsid w:val="00C921EE"/>
    <w:rsid w:val="00C92A94"/>
    <w:rsid w:val="00C957C0"/>
    <w:rsid w:val="00C9655B"/>
    <w:rsid w:val="00C97E0D"/>
    <w:rsid w:val="00CA1C27"/>
    <w:rsid w:val="00CA27A0"/>
    <w:rsid w:val="00CA307E"/>
    <w:rsid w:val="00CA3679"/>
    <w:rsid w:val="00CA3857"/>
    <w:rsid w:val="00CA4A95"/>
    <w:rsid w:val="00CA5C13"/>
    <w:rsid w:val="00CA7B06"/>
    <w:rsid w:val="00CA7EA9"/>
    <w:rsid w:val="00CB02DE"/>
    <w:rsid w:val="00CB57E2"/>
    <w:rsid w:val="00CC04FF"/>
    <w:rsid w:val="00CC0D64"/>
    <w:rsid w:val="00CC6AD6"/>
    <w:rsid w:val="00CC6F58"/>
    <w:rsid w:val="00CD0162"/>
    <w:rsid w:val="00CD062E"/>
    <w:rsid w:val="00CD0CBC"/>
    <w:rsid w:val="00CD33CA"/>
    <w:rsid w:val="00CD6562"/>
    <w:rsid w:val="00CD6A34"/>
    <w:rsid w:val="00CD7906"/>
    <w:rsid w:val="00CE00E1"/>
    <w:rsid w:val="00CE1251"/>
    <w:rsid w:val="00CE3194"/>
    <w:rsid w:val="00CE32F2"/>
    <w:rsid w:val="00CE3729"/>
    <w:rsid w:val="00CE41EF"/>
    <w:rsid w:val="00CE46BC"/>
    <w:rsid w:val="00CE49D1"/>
    <w:rsid w:val="00CE5DAC"/>
    <w:rsid w:val="00CE6641"/>
    <w:rsid w:val="00CF01C0"/>
    <w:rsid w:val="00CF0A16"/>
    <w:rsid w:val="00CF0CF1"/>
    <w:rsid w:val="00CF3436"/>
    <w:rsid w:val="00CF7709"/>
    <w:rsid w:val="00D02C73"/>
    <w:rsid w:val="00D05D1D"/>
    <w:rsid w:val="00D0650D"/>
    <w:rsid w:val="00D06871"/>
    <w:rsid w:val="00D06B30"/>
    <w:rsid w:val="00D077CE"/>
    <w:rsid w:val="00D161C4"/>
    <w:rsid w:val="00D222FE"/>
    <w:rsid w:val="00D22D08"/>
    <w:rsid w:val="00D234E1"/>
    <w:rsid w:val="00D2476F"/>
    <w:rsid w:val="00D254EF"/>
    <w:rsid w:val="00D32093"/>
    <w:rsid w:val="00D32705"/>
    <w:rsid w:val="00D337CD"/>
    <w:rsid w:val="00D34ACE"/>
    <w:rsid w:val="00D40B65"/>
    <w:rsid w:val="00D4289D"/>
    <w:rsid w:val="00D437DF"/>
    <w:rsid w:val="00D45CB1"/>
    <w:rsid w:val="00D5049D"/>
    <w:rsid w:val="00D526F9"/>
    <w:rsid w:val="00D53784"/>
    <w:rsid w:val="00D54877"/>
    <w:rsid w:val="00D55C19"/>
    <w:rsid w:val="00D55E70"/>
    <w:rsid w:val="00D563BF"/>
    <w:rsid w:val="00D5660D"/>
    <w:rsid w:val="00D57AAE"/>
    <w:rsid w:val="00D60D19"/>
    <w:rsid w:val="00D61122"/>
    <w:rsid w:val="00D612DA"/>
    <w:rsid w:val="00D623DA"/>
    <w:rsid w:val="00D64E9C"/>
    <w:rsid w:val="00D6557F"/>
    <w:rsid w:val="00D65EAB"/>
    <w:rsid w:val="00D7042C"/>
    <w:rsid w:val="00D70E72"/>
    <w:rsid w:val="00D70F95"/>
    <w:rsid w:val="00D763D5"/>
    <w:rsid w:val="00D7721E"/>
    <w:rsid w:val="00D80349"/>
    <w:rsid w:val="00D8088C"/>
    <w:rsid w:val="00D844C3"/>
    <w:rsid w:val="00D85460"/>
    <w:rsid w:val="00D8700F"/>
    <w:rsid w:val="00D90F17"/>
    <w:rsid w:val="00D9261A"/>
    <w:rsid w:val="00D931C5"/>
    <w:rsid w:val="00DA3FD6"/>
    <w:rsid w:val="00DA6075"/>
    <w:rsid w:val="00DA685C"/>
    <w:rsid w:val="00DB10AC"/>
    <w:rsid w:val="00DB15E6"/>
    <w:rsid w:val="00DB2982"/>
    <w:rsid w:val="00DB2EB9"/>
    <w:rsid w:val="00DB3376"/>
    <w:rsid w:val="00DB34A4"/>
    <w:rsid w:val="00DC08B1"/>
    <w:rsid w:val="00DC1799"/>
    <w:rsid w:val="00DC2205"/>
    <w:rsid w:val="00DC3208"/>
    <w:rsid w:val="00DC3977"/>
    <w:rsid w:val="00DC5528"/>
    <w:rsid w:val="00DD00B9"/>
    <w:rsid w:val="00DD1CDD"/>
    <w:rsid w:val="00DD3373"/>
    <w:rsid w:val="00DD5249"/>
    <w:rsid w:val="00DD5377"/>
    <w:rsid w:val="00DD572A"/>
    <w:rsid w:val="00DD5829"/>
    <w:rsid w:val="00DD6CA8"/>
    <w:rsid w:val="00DE0AF6"/>
    <w:rsid w:val="00DE21A1"/>
    <w:rsid w:val="00DE2A06"/>
    <w:rsid w:val="00DE38CF"/>
    <w:rsid w:val="00DE41B0"/>
    <w:rsid w:val="00DE6C2C"/>
    <w:rsid w:val="00DE7392"/>
    <w:rsid w:val="00DF0137"/>
    <w:rsid w:val="00DF6068"/>
    <w:rsid w:val="00E004B9"/>
    <w:rsid w:val="00E01938"/>
    <w:rsid w:val="00E01A6B"/>
    <w:rsid w:val="00E02AF9"/>
    <w:rsid w:val="00E02BA2"/>
    <w:rsid w:val="00E03154"/>
    <w:rsid w:val="00E035CF"/>
    <w:rsid w:val="00E03621"/>
    <w:rsid w:val="00E03C45"/>
    <w:rsid w:val="00E0537E"/>
    <w:rsid w:val="00E12D31"/>
    <w:rsid w:val="00E136E3"/>
    <w:rsid w:val="00E13E91"/>
    <w:rsid w:val="00E140DA"/>
    <w:rsid w:val="00E16F25"/>
    <w:rsid w:val="00E21BAB"/>
    <w:rsid w:val="00E21EAB"/>
    <w:rsid w:val="00E23E4C"/>
    <w:rsid w:val="00E31E20"/>
    <w:rsid w:val="00E32A7D"/>
    <w:rsid w:val="00E3557E"/>
    <w:rsid w:val="00E373E1"/>
    <w:rsid w:val="00E376CF"/>
    <w:rsid w:val="00E37EE8"/>
    <w:rsid w:val="00E401AE"/>
    <w:rsid w:val="00E42C6D"/>
    <w:rsid w:val="00E43A2E"/>
    <w:rsid w:val="00E4403B"/>
    <w:rsid w:val="00E46B09"/>
    <w:rsid w:val="00E503C6"/>
    <w:rsid w:val="00E51E97"/>
    <w:rsid w:val="00E52A44"/>
    <w:rsid w:val="00E52EC3"/>
    <w:rsid w:val="00E6088C"/>
    <w:rsid w:val="00E60C3D"/>
    <w:rsid w:val="00E62FC0"/>
    <w:rsid w:val="00E650CA"/>
    <w:rsid w:val="00E6695F"/>
    <w:rsid w:val="00E66A50"/>
    <w:rsid w:val="00E67230"/>
    <w:rsid w:val="00E67A03"/>
    <w:rsid w:val="00E777AE"/>
    <w:rsid w:val="00E777DB"/>
    <w:rsid w:val="00E824EE"/>
    <w:rsid w:val="00E82CF0"/>
    <w:rsid w:val="00E917A8"/>
    <w:rsid w:val="00E928B0"/>
    <w:rsid w:val="00E9321E"/>
    <w:rsid w:val="00E95B29"/>
    <w:rsid w:val="00EA14EE"/>
    <w:rsid w:val="00EA2F1F"/>
    <w:rsid w:val="00EA2F76"/>
    <w:rsid w:val="00EA319C"/>
    <w:rsid w:val="00EA7160"/>
    <w:rsid w:val="00EB0ED2"/>
    <w:rsid w:val="00EB37C6"/>
    <w:rsid w:val="00EB3F5E"/>
    <w:rsid w:val="00EB41C4"/>
    <w:rsid w:val="00EB4812"/>
    <w:rsid w:val="00EB5EF8"/>
    <w:rsid w:val="00EB667C"/>
    <w:rsid w:val="00EB6E4D"/>
    <w:rsid w:val="00EC3768"/>
    <w:rsid w:val="00EC463C"/>
    <w:rsid w:val="00EC57FC"/>
    <w:rsid w:val="00EC60BB"/>
    <w:rsid w:val="00EC6DF9"/>
    <w:rsid w:val="00EC7649"/>
    <w:rsid w:val="00EC7880"/>
    <w:rsid w:val="00ED0973"/>
    <w:rsid w:val="00ED1233"/>
    <w:rsid w:val="00ED34FC"/>
    <w:rsid w:val="00ED4684"/>
    <w:rsid w:val="00ED4DED"/>
    <w:rsid w:val="00ED55B4"/>
    <w:rsid w:val="00ED5F80"/>
    <w:rsid w:val="00ED7C44"/>
    <w:rsid w:val="00EE0379"/>
    <w:rsid w:val="00EE0BE6"/>
    <w:rsid w:val="00EE1624"/>
    <w:rsid w:val="00EE1B3F"/>
    <w:rsid w:val="00EE1EBF"/>
    <w:rsid w:val="00EE5BB4"/>
    <w:rsid w:val="00EE61C5"/>
    <w:rsid w:val="00EF195B"/>
    <w:rsid w:val="00EF300F"/>
    <w:rsid w:val="00EF480C"/>
    <w:rsid w:val="00EF54DF"/>
    <w:rsid w:val="00F04B02"/>
    <w:rsid w:val="00F0581C"/>
    <w:rsid w:val="00F05860"/>
    <w:rsid w:val="00F06E49"/>
    <w:rsid w:val="00F10787"/>
    <w:rsid w:val="00F121AE"/>
    <w:rsid w:val="00F13D4F"/>
    <w:rsid w:val="00F1778E"/>
    <w:rsid w:val="00F2030A"/>
    <w:rsid w:val="00F21249"/>
    <w:rsid w:val="00F23C0C"/>
    <w:rsid w:val="00F26432"/>
    <w:rsid w:val="00F2693F"/>
    <w:rsid w:val="00F26D2A"/>
    <w:rsid w:val="00F3076C"/>
    <w:rsid w:val="00F30F2C"/>
    <w:rsid w:val="00F33A24"/>
    <w:rsid w:val="00F35DC4"/>
    <w:rsid w:val="00F36540"/>
    <w:rsid w:val="00F37144"/>
    <w:rsid w:val="00F40BA2"/>
    <w:rsid w:val="00F41695"/>
    <w:rsid w:val="00F418BA"/>
    <w:rsid w:val="00F41E20"/>
    <w:rsid w:val="00F42D6A"/>
    <w:rsid w:val="00F47D55"/>
    <w:rsid w:val="00F5066E"/>
    <w:rsid w:val="00F51CCD"/>
    <w:rsid w:val="00F54FD6"/>
    <w:rsid w:val="00F55C21"/>
    <w:rsid w:val="00F62313"/>
    <w:rsid w:val="00F63236"/>
    <w:rsid w:val="00F645AA"/>
    <w:rsid w:val="00F66657"/>
    <w:rsid w:val="00F6665F"/>
    <w:rsid w:val="00F67BC0"/>
    <w:rsid w:val="00F70810"/>
    <w:rsid w:val="00F70B7B"/>
    <w:rsid w:val="00F7125A"/>
    <w:rsid w:val="00F7239A"/>
    <w:rsid w:val="00F72AEA"/>
    <w:rsid w:val="00F76E77"/>
    <w:rsid w:val="00F76EEB"/>
    <w:rsid w:val="00F77BBE"/>
    <w:rsid w:val="00F8095F"/>
    <w:rsid w:val="00F824D6"/>
    <w:rsid w:val="00F825BD"/>
    <w:rsid w:val="00F844AD"/>
    <w:rsid w:val="00F846C0"/>
    <w:rsid w:val="00F84E5E"/>
    <w:rsid w:val="00F86CF5"/>
    <w:rsid w:val="00F90ED1"/>
    <w:rsid w:val="00F94818"/>
    <w:rsid w:val="00F94FA0"/>
    <w:rsid w:val="00F953E1"/>
    <w:rsid w:val="00F9576E"/>
    <w:rsid w:val="00F96541"/>
    <w:rsid w:val="00F96DD1"/>
    <w:rsid w:val="00FA1000"/>
    <w:rsid w:val="00FA16AE"/>
    <w:rsid w:val="00FA176C"/>
    <w:rsid w:val="00FA3380"/>
    <w:rsid w:val="00FA4AB8"/>
    <w:rsid w:val="00FA4F9B"/>
    <w:rsid w:val="00FA645C"/>
    <w:rsid w:val="00FA6568"/>
    <w:rsid w:val="00FA7D51"/>
    <w:rsid w:val="00FB1BDF"/>
    <w:rsid w:val="00FB24FE"/>
    <w:rsid w:val="00FB260D"/>
    <w:rsid w:val="00FB3312"/>
    <w:rsid w:val="00FB3A94"/>
    <w:rsid w:val="00FB3B72"/>
    <w:rsid w:val="00FB4996"/>
    <w:rsid w:val="00FB6C10"/>
    <w:rsid w:val="00FB7394"/>
    <w:rsid w:val="00FC0621"/>
    <w:rsid w:val="00FC18E6"/>
    <w:rsid w:val="00FC6AF8"/>
    <w:rsid w:val="00FD14A1"/>
    <w:rsid w:val="00FE2949"/>
    <w:rsid w:val="00FE44B9"/>
    <w:rsid w:val="00FE52B6"/>
    <w:rsid w:val="00FE5479"/>
    <w:rsid w:val="00FE5B53"/>
    <w:rsid w:val="00FE5CAE"/>
    <w:rsid w:val="00FE5D0E"/>
    <w:rsid w:val="00FE7F8C"/>
    <w:rsid w:val="00FF0CA7"/>
    <w:rsid w:val="00FF31FF"/>
    <w:rsid w:val="00FF361D"/>
    <w:rsid w:val="00FF3FD1"/>
    <w:rsid w:val="00FF4EAD"/>
    <w:rsid w:val="00FF4F4F"/>
    <w:rsid w:val="00FF6DD9"/>
    <w:rsid w:val="00FF705F"/>
    <w:rsid w:val="00FF76B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69BD"/>
    <w:rPr>
      <w:sz w:val="24"/>
      <w:szCs w:val="24"/>
    </w:rPr>
  </w:style>
  <w:style w:type="paragraph" w:styleId="Heading1">
    <w:name w:val="heading 1"/>
    <w:basedOn w:val="Normal"/>
    <w:next w:val="Normal"/>
    <w:link w:val="Heading1Char"/>
    <w:qFormat/>
    <w:rsid w:val="005709B0"/>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qFormat/>
    <w:rsid w:val="002C0ED5"/>
    <w:pPr>
      <w:keepNext/>
      <w:spacing w:line="288" w:lineRule="auto"/>
      <w:ind w:firstLine="720"/>
      <w:outlineLvl w:val="2"/>
    </w:pPr>
    <w:rPr>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JuParaCar">
    <w:name w:val="Ju_Para Car"/>
    <w:basedOn w:val="DefaultParagraphFont"/>
    <w:link w:val="JuPara"/>
    <w:locked/>
    <w:rsid w:val="000C6952"/>
    <w:rPr>
      <w:rFonts w:ascii="Calibri" w:eastAsia="Calibri" w:hAnsi="Calibri"/>
      <w:sz w:val="24"/>
      <w:szCs w:val="22"/>
      <w:lang w:val="en-GB" w:eastAsia="fr-FR" w:bidi="ar-SA"/>
    </w:rPr>
  </w:style>
  <w:style w:type="paragraph" w:customStyle="1" w:styleId="JuPara">
    <w:name w:val="Ju_Para"/>
    <w:basedOn w:val="Normal"/>
    <w:link w:val="JuParaCar"/>
    <w:rsid w:val="000C6952"/>
    <w:pPr>
      <w:suppressAutoHyphens/>
      <w:ind w:firstLine="284"/>
      <w:jc w:val="both"/>
    </w:pPr>
    <w:rPr>
      <w:rFonts w:ascii="Calibri" w:eastAsia="Calibri" w:hAnsi="Calibri"/>
      <w:szCs w:val="22"/>
      <w:lang w:val="en-GB" w:eastAsia="fr-FR"/>
    </w:rPr>
  </w:style>
  <w:style w:type="paragraph" w:styleId="Footer">
    <w:name w:val="footer"/>
    <w:basedOn w:val="Normal"/>
    <w:link w:val="FooterChar"/>
    <w:uiPriority w:val="99"/>
    <w:rsid w:val="00FE2949"/>
    <w:pPr>
      <w:tabs>
        <w:tab w:val="center" w:pos="4320"/>
        <w:tab w:val="right" w:pos="8640"/>
      </w:tabs>
    </w:pPr>
  </w:style>
  <w:style w:type="character" w:styleId="PageNumber">
    <w:name w:val="page number"/>
    <w:basedOn w:val="DefaultParagraphFont"/>
    <w:rsid w:val="00FE2949"/>
  </w:style>
  <w:style w:type="character" w:customStyle="1" w:styleId="Heading3Char">
    <w:name w:val="Heading 3 Char"/>
    <w:basedOn w:val="DefaultParagraphFont"/>
    <w:link w:val="Heading3"/>
    <w:rsid w:val="002C0ED5"/>
    <w:rPr>
      <w:i/>
      <w:iCs/>
      <w:sz w:val="28"/>
      <w:szCs w:val="24"/>
      <w:lang w:val="en-US" w:eastAsia="en-US" w:bidi="ar-SA"/>
    </w:rPr>
  </w:style>
  <w:style w:type="paragraph" w:styleId="NormalWeb">
    <w:name w:val="Normal (Web)"/>
    <w:basedOn w:val="Normal"/>
    <w:rsid w:val="00F30F2C"/>
    <w:pPr>
      <w:spacing w:before="100" w:beforeAutospacing="1" w:after="100" w:afterAutospacing="1"/>
    </w:pPr>
    <w:rPr>
      <w:rFonts w:ascii="Arial Unicode MS" w:eastAsia="Arial Unicode MS" w:hAnsi="Arial Unicode MS" w:cs="Arial Unicode MS"/>
      <w:lang w:val="sq-AL"/>
    </w:rPr>
  </w:style>
  <w:style w:type="paragraph" w:styleId="ListParagraph">
    <w:name w:val="List Paragraph"/>
    <w:basedOn w:val="Normal"/>
    <w:uiPriority w:val="34"/>
    <w:qFormat/>
    <w:rsid w:val="00632BA6"/>
    <w:pPr>
      <w:ind w:left="720"/>
      <w:contextualSpacing/>
    </w:pPr>
    <w:rPr>
      <w:noProof/>
    </w:rPr>
  </w:style>
  <w:style w:type="paragraph" w:styleId="FootnoteText">
    <w:name w:val="footnote text"/>
    <w:aliases w:val="Char Char, Char1"/>
    <w:basedOn w:val="Normal"/>
    <w:link w:val="FootnoteTextChar"/>
    <w:rsid w:val="00ED4684"/>
    <w:rPr>
      <w:sz w:val="20"/>
      <w:szCs w:val="20"/>
    </w:rPr>
  </w:style>
  <w:style w:type="character" w:styleId="FootnoteReference">
    <w:name w:val="footnote reference"/>
    <w:basedOn w:val="DefaultParagraphFont"/>
    <w:rsid w:val="00ED4684"/>
    <w:rPr>
      <w:vertAlign w:val="superscript"/>
    </w:rPr>
  </w:style>
  <w:style w:type="character" w:customStyle="1" w:styleId="FootnoteTextChar">
    <w:name w:val="Footnote Text Char"/>
    <w:aliases w:val="Char Char Char, Char1 Char1"/>
    <w:basedOn w:val="DefaultParagraphFont"/>
    <w:link w:val="FootnoteText"/>
    <w:rsid w:val="00B31F9B"/>
  </w:style>
  <w:style w:type="character" w:styleId="Strong">
    <w:name w:val="Strong"/>
    <w:basedOn w:val="DefaultParagraphFont"/>
    <w:uiPriority w:val="22"/>
    <w:qFormat/>
    <w:rsid w:val="005A5DFF"/>
    <w:rPr>
      <w:b/>
      <w:bCs/>
    </w:rPr>
  </w:style>
  <w:style w:type="character" w:customStyle="1" w:styleId="hps">
    <w:name w:val="hps"/>
    <w:rsid w:val="0096790F"/>
    <w:rPr>
      <w:rFonts w:cs="Times New Roman"/>
    </w:rPr>
  </w:style>
  <w:style w:type="paragraph" w:styleId="BodyText">
    <w:name w:val="Body Text"/>
    <w:basedOn w:val="Normal"/>
    <w:link w:val="BodyTextChar"/>
    <w:rsid w:val="0096790F"/>
    <w:pPr>
      <w:jc w:val="both"/>
    </w:pPr>
    <w:rPr>
      <w:rFonts w:eastAsia="MS Mincho"/>
      <w:szCs w:val="20"/>
    </w:rPr>
  </w:style>
  <w:style w:type="character" w:customStyle="1" w:styleId="BodyTextChar">
    <w:name w:val="Body Text Char"/>
    <w:basedOn w:val="DefaultParagraphFont"/>
    <w:link w:val="BodyText"/>
    <w:rsid w:val="0096790F"/>
    <w:rPr>
      <w:rFonts w:eastAsia="MS Mincho"/>
      <w:sz w:val="24"/>
    </w:rPr>
  </w:style>
  <w:style w:type="character" w:customStyle="1" w:styleId="Heading1Char">
    <w:name w:val="Heading 1 Char"/>
    <w:basedOn w:val="DefaultParagraphFont"/>
    <w:link w:val="Heading1"/>
    <w:rsid w:val="005709B0"/>
    <w:rPr>
      <w:rFonts w:ascii="Cambria" w:hAnsi="Cambria"/>
      <w:b/>
      <w:bCs/>
      <w:kern w:val="32"/>
      <w:sz w:val="32"/>
      <w:szCs w:val="32"/>
    </w:rPr>
  </w:style>
  <w:style w:type="paragraph" w:customStyle="1" w:styleId="Paragrafi">
    <w:name w:val="Paragrafi"/>
    <w:rsid w:val="002579CB"/>
    <w:pPr>
      <w:widowControl w:val="0"/>
      <w:ind w:firstLine="720"/>
      <w:jc w:val="both"/>
    </w:pPr>
    <w:rPr>
      <w:rFonts w:ascii="CG Times" w:eastAsia="MS Mincho" w:hAnsi="CG Times"/>
      <w:sz w:val="22"/>
    </w:rPr>
  </w:style>
  <w:style w:type="paragraph" w:styleId="Title">
    <w:name w:val="Title"/>
    <w:aliases w:val="Char"/>
    <w:basedOn w:val="Normal"/>
    <w:link w:val="TitleChar"/>
    <w:qFormat/>
    <w:rsid w:val="006E6745"/>
    <w:pPr>
      <w:jc w:val="center"/>
    </w:pPr>
    <w:rPr>
      <w:b/>
      <w:bCs/>
      <w:noProof/>
    </w:rPr>
  </w:style>
  <w:style w:type="character" w:customStyle="1" w:styleId="TitleChar">
    <w:name w:val="Title Char"/>
    <w:aliases w:val="Char Char1"/>
    <w:basedOn w:val="DefaultParagraphFont"/>
    <w:link w:val="Title"/>
    <w:rsid w:val="006E6745"/>
    <w:rPr>
      <w:b/>
      <w:bCs/>
      <w:noProof/>
      <w:sz w:val="24"/>
      <w:szCs w:val="24"/>
    </w:rPr>
  </w:style>
  <w:style w:type="paragraph" w:styleId="BodyTextIndent">
    <w:name w:val="Body Text Indent"/>
    <w:basedOn w:val="Normal"/>
    <w:link w:val="BodyTextIndentChar"/>
    <w:uiPriority w:val="99"/>
    <w:unhideWhenUsed/>
    <w:rsid w:val="001F1986"/>
    <w:pPr>
      <w:spacing w:after="120"/>
      <w:ind w:left="360"/>
    </w:pPr>
    <w:rPr>
      <w:lang w:val="sq-AL"/>
    </w:rPr>
  </w:style>
  <w:style w:type="character" w:customStyle="1" w:styleId="BodyTextIndentChar">
    <w:name w:val="Body Text Indent Char"/>
    <w:basedOn w:val="DefaultParagraphFont"/>
    <w:link w:val="BodyTextIndent"/>
    <w:uiPriority w:val="99"/>
    <w:rsid w:val="001F1986"/>
    <w:rPr>
      <w:sz w:val="24"/>
      <w:szCs w:val="24"/>
      <w:lang w:val="sq-AL"/>
    </w:rPr>
  </w:style>
  <w:style w:type="character" w:customStyle="1" w:styleId="FootnoteTextChar1">
    <w:name w:val="Footnote Text Char1"/>
    <w:aliases w:val=" Char1 Char"/>
    <w:basedOn w:val="DefaultParagraphFont"/>
    <w:rsid w:val="001F1986"/>
    <w:rPr>
      <w:rFonts w:ascii="Calibri" w:eastAsia="Calibri" w:hAnsi="Calibri" w:cs="Times New Roman"/>
      <w:lang w:val="sq-AL"/>
    </w:rPr>
  </w:style>
  <w:style w:type="paragraph" w:styleId="BalloonText">
    <w:name w:val="Balloon Text"/>
    <w:basedOn w:val="Normal"/>
    <w:link w:val="BalloonTextChar"/>
    <w:uiPriority w:val="99"/>
    <w:semiHidden/>
    <w:unhideWhenUsed/>
    <w:rsid w:val="00C6149A"/>
    <w:rPr>
      <w:rFonts w:ascii="Tahoma" w:hAnsi="Tahoma" w:cs="Tahoma"/>
      <w:sz w:val="16"/>
      <w:szCs w:val="16"/>
    </w:rPr>
  </w:style>
  <w:style w:type="character" w:customStyle="1" w:styleId="BalloonTextChar">
    <w:name w:val="Balloon Text Char"/>
    <w:basedOn w:val="DefaultParagraphFont"/>
    <w:link w:val="BalloonText"/>
    <w:uiPriority w:val="99"/>
    <w:semiHidden/>
    <w:rsid w:val="00C6149A"/>
    <w:rPr>
      <w:rFonts w:ascii="Tahoma" w:hAnsi="Tahoma" w:cs="Tahoma"/>
      <w:sz w:val="16"/>
      <w:szCs w:val="16"/>
    </w:rPr>
  </w:style>
  <w:style w:type="paragraph" w:styleId="Header">
    <w:name w:val="header"/>
    <w:basedOn w:val="Normal"/>
    <w:link w:val="HeaderChar"/>
    <w:uiPriority w:val="99"/>
    <w:semiHidden/>
    <w:unhideWhenUsed/>
    <w:rsid w:val="000832AE"/>
    <w:pPr>
      <w:tabs>
        <w:tab w:val="center" w:pos="4680"/>
        <w:tab w:val="right" w:pos="9360"/>
      </w:tabs>
    </w:pPr>
  </w:style>
  <w:style w:type="character" w:customStyle="1" w:styleId="HeaderChar">
    <w:name w:val="Header Char"/>
    <w:basedOn w:val="DefaultParagraphFont"/>
    <w:link w:val="Header"/>
    <w:uiPriority w:val="99"/>
    <w:semiHidden/>
    <w:rsid w:val="000832AE"/>
    <w:rPr>
      <w:sz w:val="24"/>
      <w:szCs w:val="24"/>
    </w:rPr>
  </w:style>
  <w:style w:type="character" w:customStyle="1" w:styleId="FooterChar">
    <w:name w:val="Footer Char"/>
    <w:basedOn w:val="DefaultParagraphFont"/>
    <w:link w:val="Footer"/>
    <w:uiPriority w:val="99"/>
    <w:rsid w:val="000832AE"/>
    <w:rPr>
      <w:sz w:val="24"/>
      <w:szCs w:val="24"/>
    </w:rPr>
  </w:style>
  <w:style w:type="character" w:styleId="CommentReference">
    <w:name w:val="annotation reference"/>
    <w:basedOn w:val="DefaultParagraphFont"/>
    <w:uiPriority w:val="99"/>
    <w:semiHidden/>
    <w:unhideWhenUsed/>
    <w:rsid w:val="005610AC"/>
    <w:rPr>
      <w:sz w:val="16"/>
      <w:szCs w:val="16"/>
    </w:rPr>
  </w:style>
  <w:style w:type="paragraph" w:styleId="CommentText">
    <w:name w:val="annotation text"/>
    <w:basedOn w:val="Normal"/>
    <w:link w:val="CommentTextChar"/>
    <w:uiPriority w:val="99"/>
    <w:semiHidden/>
    <w:unhideWhenUsed/>
    <w:rsid w:val="005610AC"/>
    <w:rPr>
      <w:sz w:val="20"/>
      <w:szCs w:val="20"/>
    </w:rPr>
  </w:style>
  <w:style w:type="character" w:customStyle="1" w:styleId="CommentTextChar">
    <w:name w:val="Comment Text Char"/>
    <w:basedOn w:val="DefaultParagraphFont"/>
    <w:link w:val="CommentText"/>
    <w:uiPriority w:val="99"/>
    <w:semiHidden/>
    <w:rsid w:val="005610AC"/>
  </w:style>
  <w:style w:type="paragraph" w:styleId="CommentSubject">
    <w:name w:val="annotation subject"/>
    <w:basedOn w:val="CommentText"/>
    <w:next w:val="CommentText"/>
    <w:link w:val="CommentSubjectChar"/>
    <w:uiPriority w:val="99"/>
    <w:semiHidden/>
    <w:unhideWhenUsed/>
    <w:rsid w:val="005610AC"/>
    <w:rPr>
      <w:b/>
      <w:bCs/>
    </w:rPr>
  </w:style>
  <w:style w:type="character" w:customStyle="1" w:styleId="CommentSubjectChar">
    <w:name w:val="Comment Subject Char"/>
    <w:basedOn w:val="CommentTextChar"/>
    <w:link w:val="CommentSubject"/>
    <w:uiPriority w:val="99"/>
    <w:semiHidden/>
    <w:rsid w:val="005610AC"/>
    <w:rPr>
      <w:b/>
      <w:bCs/>
    </w:rPr>
  </w:style>
  <w:style w:type="character" w:customStyle="1" w:styleId="Caratteredellanota">
    <w:name w:val="Carattere della nota"/>
    <w:rsid w:val="008C275A"/>
    <w:rPr>
      <w:vertAlign w:val="superscript"/>
    </w:rPr>
  </w:style>
  <w:style w:type="character" w:customStyle="1" w:styleId="WW-FootnoteReference12345678910">
    <w:name w:val="WW-Footnote Reference12345678910"/>
    <w:rsid w:val="008C275A"/>
    <w:rPr>
      <w:vertAlign w:val="superscript"/>
    </w:rPr>
  </w:style>
  <w:style w:type="character" w:customStyle="1" w:styleId="polytonic">
    <w:name w:val="polytonic"/>
    <w:basedOn w:val="DefaultParagraphFont"/>
    <w:rsid w:val="007B655C"/>
  </w:style>
  <w:style w:type="character" w:styleId="Hyperlink">
    <w:name w:val="Hyperlink"/>
    <w:basedOn w:val="DefaultParagraphFont"/>
    <w:uiPriority w:val="99"/>
    <w:semiHidden/>
    <w:unhideWhenUsed/>
    <w:rsid w:val="007B655C"/>
    <w:rPr>
      <w:color w:val="0000FF"/>
      <w:u w:val="single"/>
    </w:rPr>
  </w:style>
</w:styles>
</file>

<file path=word/webSettings.xml><?xml version="1.0" encoding="utf-8"?>
<w:webSettings xmlns:r="http://schemas.openxmlformats.org/officeDocument/2006/relationships" xmlns:w="http://schemas.openxmlformats.org/wordprocessingml/2006/main">
  <w:divs>
    <w:div w:id="184371635">
      <w:bodyDiv w:val="1"/>
      <w:marLeft w:val="0"/>
      <w:marRight w:val="0"/>
      <w:marTop w:val="0"/>
      <w:marBottom w:val="0"/>
      <w:divBdr>
        <w:top w:val="none" w:sz="0" w:space="0" w:color="auto"/>
        <w:left w:val="none" w:sz="0" w:space="0" w:color="auto"/>
        <w:bottom w:val="none" w:sz="0" w:space="0" w:color="auto"/>
        <w:right w:val="none" w:sz="0" w:space="0" w:color="auto"/>
      </w:divBdr>
    </w:div>
    <w:div w:id="384069728">
      <w:bodyDiv w:val="1"/>
      <w:marLeft w:val="0"/>
      <w:marRight w:val="0"/>
      <w:marTop w:val="0"/>
      <w:marBottom w:val="0"/>
      <w:divBdr>
        <w:top w:val="none" w:sz="0" w:space="0" w:color="auto"/>
        <w:left w:val="none" w:sz="0" w:space="0" w:color="auto"/>
        <w:bottom w:val="none" w:sz="0" w:space="0" w:color="auto"/>
        <w:right w:val="none" w:sz="0" w:space="0" w:color="auto"/>
      </w:divBdr>
      <w:divsChild>
        <w:div w:id="1192453998">
          <w:marLeft w:val="0"/>
          <w:marRight w:val="0"/>
          <w:marTop w:val="0"/>
          <w:marBottom w:val="0"/>
          <w:divBdr>
            <w:top w:val="none" w:sz="0" w:space="0" w:color="auto"/>
            <w:left w:val="none" w:sz="0" w:space="0" w:color="auto"/>
            <w:bottom w:val="none" w:sz="0" w:space="0" w:color="auto"/>
            <w:right w:val="none" w:sz="0" w:space="0" w:color="auto"/>
          </w:divBdr>
          <w:divsChild>
            <w:div w:id="22283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71699">
      <w:bodyDiv w:val="1"/>
      <w:marLeft w:val="0"/>
      <w:marRight w:val="0"/>
      <w:marTop w:val="0"/>
      <w:marBottom w:val="0"/>
      <w:divBdr>
        <w:top w:val="none" w:sz="0" w:space="0" w:color="auto"/>
        <w:left w:val="none" w:sz="0" w:space="0" w:color="auto"/>
        <w:bottom w:val="none" w:sz="0" w:space="0" w:color="auto"/>
        <w:right w:val="none" w:sz="0" w:space="0" w:color="auto"/>
      </w:divBdr>
    </w:div>
    <w:div w:id="2032565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2497</Words>
  <Characters>14236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GJYKATA E RRETHIT GJYQESOR VLORE</vt:lpstr>
    </vt:vector>
  </TitlesOfParts>
  <Company>Servisi</Company>
  <LinksUpToDate>false</LinksUpToDate>
  <CharactersWithSpaces>16700</CharactersWithSpaces>
  <SharedDoc>false</SharedDoc>
  <HLinks>
    <vt:vector size="6" baseType="variant">
      <vt:variant>
        <vt:i4>4390976</vt:i4>
      </vt:variant>
      <vt:variant>
        <vt:i4>0</vt:i4>
      </vt:variant>
      <vt:variant>
        <vt:i4>0</vt:i4>
      </vt:variant>
      <vt:variant>
        <vt:i4>5</vt:i4>
      </vt:variant>
      <vt:variant>
        <vt:lpwstr>http://www.parlament.al/web/pub/ligj_nr_22_dt_10_3_2014_16269_1.pdf</vt:lpwstr>
      </vt:variant>
      <vt:variant>
        <vt:lpwstr>page=1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GJYKATA E RRETHIT GJYQESOR VLORE</dc:title>
  <dc:subject>Dt. 03.07.2014</dc:subject>
  <dc:creator>Vladimir KRISTO</dc:creator>
  <cp:lastModifiedBy>user</cp:lastModifiedBy>
  <cp:revision>3</cp:revision>
  <cp:lastPrinted>2014-07-15T10:32:00Z</cp:lastPrinted>
  <dcterms:created xsi:type="dcterms:W3CDTF">2014-07-11T07:51:00Z</dcterms:created>
  <dcterms:modified xsi:type="dcterms:W3CDTF">2014-07-15T12:41:00Z</dcterms:modified>
</cp:coreProperties>
</file>